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47DC3" w14:textId="1F8A318D" w:rsidR="000B6C24" w:rsidRDefault="00263404" w:rsidP="00667695">
      <w:pPr>
        <w:pStyle w:val="Kop1"/>
      </w:pPr>
      <w:bookmarkStart w:id="0" w:name="_GoBack"/>
      <w:bookmarkEnd w:id="0"/>
      <w:r>
        <w:t xml:space="preserve">Protocol uitwendige versie </w:t>
      </w:r>
      <w:r w:rsidR="000212CA">
        <w:t>bij stuitligging VSV SHE</w:t>
      </w:r>
      <w:r w:rsidR="00E835C0">
        <w:t xml:space="preserve"> (mei</w:t>
      </w:r>
      <w:r w:rsidR="00227AE4">
        <w:t xml:space="preserve"> 2021)</w:t>
      </w:r>
    </w:p>
    <w:p w14:paraId="4A694B6B" w14:textId="77777777" w:rsidR="000212CA" w:rsidRPr="000212CA" w:rsidRDefault="000212CA" w:rsidP="000212CA"/>
    <w:p w14:paraId="18E91799" w14:textId="77777777" w:rsidR="009C24F1" w:rsidRPr="000212CA" w:rsidRDefault="00F60AF8" w:rsidP="000212CA">
      <w:pPr>
        <w:pStyle w:val="Geenafstand"/>
        <w:rPr>
          <w:b/>
        </w:rPr>
      </w:pPr>
      <w:r w:rsidRPr="000212CA">
        <w:rPr>
          <w:b/>
        </w:rPr>
        <w:t>Logistiek:</w:t>
      </w:r>
    </w:p>
    <w:p w14:paraId="0EE0F467" w14:textId="5FF0F7FD" w:rsidR="009C24F1" w:rsidRDefault="00227AE4" w:rsidP="009C24F1">
      <w:pPr>
        <w:pStyle w:val="Lijstalinea"/>
        <w:numPr>
          <w:ilvl w:val="0"/>
          <w:numId w:val="4"/>
        </w:numPr>
      </w:pPr>
      <w:r>
        <w:t>Indien l</w:t>
      </w:r>
      <w:r w:rsidR="00F60AF8">
        <w:t>iggingsecho bij</w:t>
      </w:r>
      <w:r w:rsidR="001E3537">
        <w:t xml:space="preserve"> voorkeur bij zwangerschapsduur</w:t>
      </w:r>
      <w:r w:rsidR="00F60AF8">
        <w:t xml:space="preserve"> 35 </w:t>
      </w:r>
      <w:r w:rsidR="000212CA">
        <w:t>weken.</w:t>
      </w:r>
    </w:p>
    <w:p w14:paraId="09B779B2" w14:textId="2CD38D4B" w:rsidR="009C24F1" w:rsidRDefault="009B3F01" w:rsidP="009C24F1">
      <w:pPr>
        <w:pStyle w:val="Lijstalinea"/>
        <w:numPr>
          <w:ilvl w:val="0"/>
          <w:numId w:val="4"/>
        </w:numPr>
      </w:pPr>
      <w:r>
        <w:t>Indien stuitligging</w:t>
      </w:r>
      <w:r>
        <w:sym w:font="Wingdings" w:char="F0E0"/>
      </w:r>
      <w:r>
        <w:t xml:space="preserve"> ver</w:t>
      </w:r>
      <w:r w:rsidR="00441981">
        <w:t>w</w:t>
      </w:r>
      <w:r>
        <w:t xml:space="preserve">ijzen via zorgdomein naar de poli gynaecologie met de vermelding verwijzing </w:t>
      </w:r>
      <w:r w:rsidR="00896260">
        <w:t xml:space="preserve">naar het ‘versie spreekuur’ </w:t>
      </w:r>
      <w:r w:rsidR="000212CA">
        <w:t xml:space="preserve">en met vermelding van de </w:t>
      </w:r>
      <w:r w:rsidR="001E3537">
        <w:t>zwangerschapsduur</w:t>
      </w:r>
      <w:r w:rsidR="000212CA">
        <w:t>.</w:t>
      </w:r>
    </w:p>
    <w:p w14:paraId="0059757D" w14:textId="2BB688BD" w:rsidR="009C24F1" w:rsidRDefault="007209F7" w:rsidP="009C24F1">
      <w:pPr>
        <w:pStyle w:val="Lijstalinea"/>
        <w:numPr>
          <w:ilvl w:val="0"/>
          <w:numId w:val="4"/>
        </w:numPr>
      </w:pPr>
      <w:r>
        <w:t xml:space="preserve">zwangere graag de informatie van de uitwendige versie van de site gynaecoloog.nl meegeven en of mailen (Links zijn hieronder </w:t>
      </w:r>
      <w:r w:rsidR="001F5817">
        <w:t xml:space="preserve">vermeld) </w:t>
      </w:r>
    </w:p>
    <w:p w14:paraId="5ABDA472" w14:textId="77777777" w:rsidR="009C24F1" w:rsidRDefault="00141144" w:rsidP="009C24F1">
      <w:pPr>
        <w:pStyle w:val="Lijstalinea"/>
        <w:numPr>
          <w:ilvl w:val="0"/>
          <w:numId w:val="4"/>
        </w:numPr>
      </w:pPr>
      <w:r>
        <w:t xml:space="preserve">NB: indien een biometrie verricht in de huidige graviditeit, graag de exacte metingen vermelden, inclusief de amnion fluid index. </w:t>
      </w:r>
    </w:p>
    <w:p w14:paraId="425F787E" w14:textId="5F109259" w:rsidR="002B7517" w:rsidRDefault="00A9008B" w:rsidP="002B7517">
      <w:pPr>
        <w:pStyle w:val="Lijstalinea"/>
        <w:numPr>
          <w:ilvl w:val="0"/>
          <w:numId w:val="4"/>
        </w:numPr>
      </w:pPr>
      <w:r>
        <w:t xml:space="preserve">Counseling over de uitwendige versie, </w:t>
      </w:r>
      <w:r w:rsidR="002B7517">
        <w:t>zal door één v</w:t>
      </w:r>
      <w:r>
        <w:t>an</w:t>
      </w:r>
      <w:r w:rsidR="000212CA">
        <w:t xml:space="preserve"> de leden van</w:t>
      </w:r>
      <w:r>
        <w:t xml:space="preserve"> het versieteam worden verricht. </w:t>
      </w:r>
      <w:r w:rsidR="00CF6E5A">
        <w:t xml:space="preserve"> Informed consent noodzakelijk en vermelden in het dossier</w:t>
      </w:r>
      <w:r w:rsidR="000212CA">
        <w:t>.</w:t>
      </w:r>
    </w:p>
    <w:p w14:paraId="616C105C" w14:textId="62F4CD55" w:rsidR="009C24F1" w:rsidRDefault="001F5817" w:rsidP="009C24F1">
      <w:pPr>
        <w:pStyle w:val="Lijstalinea"/>
        <w:numPr>
          <w:ilvl w:val="0"/>
          <w:numId w:val="4"/>
        </w:numPr>
      </w:pPr>
      <w:r>
        <w:t>Versiespreek</w:t>
      </w:r>
      <w:r w:rsidR="000212CA">
        <w:t>uur elke donderdag middag op één</w:t>
      </w:r>
      <w:r>
        <w:t xml:space="preserve"> van de triagekamers. </w:t>
      </w:r>
    </w:p>
    <w:p w14:paraId="64761111" w14:textId="58C26A78" w:rsidR="00D47046" w:rsidRDefault="00683798" w:rsidP="00D47046">
      <w:hyperlink r:id="rId8" w:anchor=":~:text=Als%20een%20baby%20bij%20een,om%20een%20versie%20te%20doen" w:history="1">
        <w:r w:rsidR="00D47046" w:rsidRPr="005101F6">
          <w:rPr>
            <w:rStyle w:val="Hyperlink"/>
          </w:rPr>
          <w:t>https://www.degynaecoloog.nl/onderwerpen/baby-laten-draaien-stuitligging-versie/#:~:text=Als%20een%20baby%20bij%20een,om%20een%20versie%20te%20doen</w:t>
        </w:r>
      </w:hyperlink>
      <w:r w:rsidR="00D47046" w:rsidRPr="00D47046">
        <w:t>.</w:t>
      </w:r>
      <w:r w:rsidR="00D47046">
        <w:t xml:space="preserve"> </w:t>
      </w:r>
    </w:p>
    <w:p w14:paraId="1E9BB3A4" w14:textId="47505502" w:rsidR="00D47046" w:rsidRDefault="00683798" w:rsidP="00D47046">
      <w:hyperlink r:id="rId9" w:history="1">
        <w:r w:rsidR="00D47046" w:rsidRPr="005101F6">
          <w:rPr>
            <w:rStyle w:val="Hyperlink"/>
          </w:rPr>
          <w:t>https://consultkaart.nl/wp-content/uploads/2017/12/FMS_ck_Stuitbevalling_2017.01.pdf</w:t>
        </w:r>
      </w:hyperlink>
      <w:r w:rsidR="00D47046">
        <w:t xml:space="preserve"> </w:t>
      </w:r>
    </w:p>
    <w:p w14:paraId="316770D7" w14:textId="7E350900" w:rsidR="00D47046" w:rsidRDefault="00683798" w:rsidP="00D47046">
      <w:hyperlink r:id="rId10" w:anchor=":~:text=Om%20de%20baby%20in%20hoofdligging,draaien%20bij%20stuitligging%3A%20een%20versie" w:history="1">
        <w:r w:rsidR="00D47046" w:rsidRPr="005101F6">
          <w:rPr>
            <w:rStyle w:val="Hyperlink"/>
          </w:rPr>
          <w:t>https://www.degynaecoloog.nl/onderwerpen/hoe-wil-bevallen-kind-stuitligging/#:~:text=Om%20de%20baby%20in%20hoofdligging,draaien%20bij%20stuitligging%3A%20een%20versie</w:t>
        </w:r>
      </w:hyperlink>
      <w:r w:rsidR="00D47046" w:rsidRPr="00D47046">
        <w:t>.</w:t>
      </w:r>
      <w:r w:rsidR="00D47046">
        <w:t xml:space="preserve"> </w:t>
      </w:r>
    </w:p>
    <w:p w14:paraId="477C379E" w14:textId="1E681DB4" w:rsidR="00055748" w:rsidRDefault="00896260" w:rsidP="004D258A">
      <w:pPr>
        <w:spacing w:line="240" w:lineRule="auto"/>
        <w:rPr>
          <w:rFonts w:cstheme="minorHAnsi"/>
          <w:b/>
          <w:bCs/>
          <w:u w:val="single"/>
        </w:rPr>
      </w:pPr>
      <w:r w:rsidRPr="00323CFF">
        <w:br/>
      </w:r>
      <w:r w:rsidR="00055748">
        <w:rPr>
          <w:rFonts w:cstheme="minorHAnsi"/>
          <w:b/>
          <w:bCs/>
        </w:rPr>
        <w:t>Doel</w:t>
      </w:r>
      <w:r w:rsidR="00055748">
        <w:rPr>
          <w:rFonts w:cstheme="minorHAnsi"/>
          <w:b/>
          <w:bCs/>
        </w:rPr>
        <w:br/>
      </w:r>
      <w:r w:rsidR="00055748">
        <w:rPr>
          <w:rFonts w:cstheme="minorHAnsi"/>
        </w:rPr>
        <w:t>Verminderen van het aantal à</w:t>
      </w:r>
      <w:r w:rsidR="00055748" w:rsidRPr="00FE5882">
        <w:rPr>
          <w:rFonts w:cstheme="minorHAnsi"/>
        </w:rPr>
        <w:t xml:space="preserve"> terme stuitliggingen.</w:t>
      </w:r>
      <w:r w:rsidR="00055748">
        <w:rPr>
          <w:rFonts w:cstheme="minorHAnsi"/>
          <w:b/>
          <w:bCs/>
        </w:rPr>
        <w:t xml:space="preserve"> </w:t>
      </w:r>
    </w:p>
    <w:p w14:paraId="6FF35AA5" w14:textId="77777777" w:rsidR="004D258A" w:rsidRDefault="004D258A" w:rsidP="004D258A">
      <w:pPr>
        <w:spacing w:line="240" w:lineRule="auto"/>
        <w:rPr>
          <w:rFonts w:cstheme="minorHAnsi"/>
          <w:b/>
          <w:bCs/>
        </w:rPr>
      </w:pPr>
      <w:r>
        <w:rPr>
          <w:rFonts w:cstheme="minorHAnsi"/>
          <w:b/>
          <w:bCs/>
        </w:rPr>
        <w:t>Contra-indicatie</w:t>
      </w:r>
      <w:r>
        <w:rPr>
          <w:rFonts w:cstheme="minorHAnsi"/>
          <w:b/>
          <w:bCs/>
        </w:rPr>
        <w:br/>
      </w:r>
      <w:r w:rsidRPr="002E0AA8">
        <w:rPr>
          <w:rFonts w:cstheme="minorHAnsi"/>
        </w:rPr>
        <w:t>Voor de uitwendige versie bestaan nauwelijks absolute contra-indicaties. Gezien de lage kans op complicaties, is er voldoende bewijsvoering voor absolute contra-indicaties.</w:t>
      </w:r>
      <w:r>
        <w:rPr>
          <w:rFonts w:cstheme="minorHAnsi"/>
          <w:b/>
          <w:bCs/>
        </w:rPr>
        <w:t xml:space="preserve"> </w:t>
      </w:r>
    </w:p>
    <w:p w14:paraId="65E95238" w14:textId="77777777" w:rsidR="004D258A" w:rsidRPr="000212CA" w:rsidRDefault="004D258A" w:rsidP="000212CA">
      <w:pPr>
        <w:pStyle w:val="Geenafstand"/>
        <w:rPr>
          <w:b/>
        </w:rPr>
      </w:pPr>
      <w:r w:rsidRPr="000212CA">
        <w:rPr>
          <w:b/>
        </w:rPr>
        <w:t>Absolute  contra-indicaties voor uitwendige versie:</w:t>
      </w:r>
    </w:p>
    <w:p w14:paraId="43041CDD" w14:textId="539766B2" w:rsidR="004D258A" w:rsidRPr="00CF6E5A" w:rsidRDefault="004D258A" w:rsidP="000212CA">
      <w:pPr>
        <w:pStyle w:val="Geenafstand"/>
        <w:numPr>
          <w:ilvl w:val="0"/>
          <w:numId w:val="35"/>
        </w:numPr>
      </w:pPr>
      <w:r>
        <w:t>v</w:t>
      </w:r>
      <w:r w:rsidRPr="00CF6E5A">
        <w:t>erdenking (part</w:t>
      </w:r>
      <w:r w:rsidR="000212CA">
        <w:t>iële</w:t>
      </w:r>
      <w:r w:rsidRPr="00CF6E5A">
        <w:t xml:space="preserve">) abruptio placentae </w:t>
      </w:r>
    </w:p>
    <w:p w14:paraId="0FD4210E" w14:textId="77777777" w:rsidR="004D258A" w:rsidRPr="00CF6E5A" w:rsidRDefault="004D258A" w:rsidP="004D258A">
      <w:pPr>
        <w:pStyle w:val="Lijstalinea"/>
        <w:numPr>
          <w:ilvl w:val="0"/>
          <w:numId w:val="30"/>
        </w:numPr>
        <w:spacing w:line="240" w:lineRule="auto"/>
        <w:rPr>
          <w:rFonts w:cstheme="minorHAnsi"/>
          <w:bCs/>
        </w:rPr>
      </w:pPr>
      <w:r>
        <w:rPr>
          <w:rFonts w:cstheme="minorHAnsi"/>
          <w:bCs/>
        </w:rPr>
        <w:t>v</w:t>
      </w:r>
      <w:r w:rsidRPr="00CF6E5A">
        <w:rPr>
          <w:rFonts w:cstheme="minorHAnsi"/>
          <w:bCs/>
        </w:rPr>
        <w:t>aginaal bloedverlies</w:t>
      </w:r>
    </w:p>
    <w:p w14:paraId="5804D699" w14:textId="77777777" w:rsidR="004D258A" w:rsidRPr="00CF6E5A" w:rsidRDefault="004D258A" w:rsidP="004D258A">
      <w:pPr>
        <w:pStyle w:val="Lijstalinea"/>
        <w:numPr>
          <w:ilvl w:val="0"/>
          <w:numId w:val="30"/>
        </w:numPr>
        <w:spacing w:line="240" w:lineRule="auto"/>
        <w:rPr>
          <w:rFonts w:cstheme="minorHAnsi"/>
          <w:bCs/>
        </w:rPr>
      </w:pPr>
      <w:r>
        <w:rPr>
          <w:rFonts w:cstheme="minorHAnsi"/>
          <w:bCs/>
        </w:rPr>
        <w:t>c</w:t>
      </w:r>
      <w:r w:rsidRPr="00CF6E5A">
        <w:rPr>
          <w:rFonts w:cstheme="minorHAnsi"/>
          <w:bCs/>
        </w:rPr>
        <w:t xml:space="preserve">ontra-indicatie vaginale baring </w:t>
      </w:r>
    </w:p>
    <w:p w14:paraId="4CA9947B" w14:textId="77777777" w:rsidR="004D258A" w:rsidRPr="00CF6E5A" w:rsidRDefault="004D258A" w:rsidP="004D258A">
      <w:pPr>
        <w:pStyle w:val="Lijstalinea"/>
        <w:numPr>
          <w:ilvl w:val="0"/>
          <w:numId w:val="30"/>
        </w:numPr>
        <w:spacing w:line="240" w:lineRule="auto"/>
        <w:rPr>
          <w:rFonts w:cstheme="minorHAnsi"/>
          <w:bCs/>
        </w:rPr>
      </w:pPr>
      <w:r>
        <w:rPr>
          <w:rFonts w:cstheme="minorHAnsi"/>
          <w:bCs/>
        </w:rPr>
        <w:t>v</w:t>
      </w:r>
      <w:r w:rsidRPr="00CF6E5A">
        <w:rPr>
          <w:rFonts w:cstheme="minorHAnsi"/>
          <w:bCs/>
        </w:rPr>
        <w:t>erdenking foetale nood</w:t>
      </w:r>
    </w:p>
    <w:p w14:paraId="20B217EA" w14:textId="77777777" w:rsidR="004D258A" w:rsidRPr="00CF6E5A" w:rsidRDefault="004D258A" w:rsidP="004D258A">
      <w:pPr>
        <w:pStyle w:val="Lijstalinea"/>
        <w:numPr>
          <w:ilvl w:val="0"/>
          <w:numId w:val="30"/>
        </w:numPr>
        <w:spacing w:line="240" w:lineRule="auto"/>
        <w:rPr>
          <w:rFonts w:cstheme="minorHAnsi"/>
          <w:bCs/>
        </w:rPr>
      </w:pPr>
      <w:r>
        <w:rPr>
          <w:rFonts w:cstheme="minorHAnsi"/>
          <w:bCs/>
        </w:rPr>
        <w:t>g</w:t>
      </w:r>
      <w:r w:rsidRPr="00CF6E5A">
        <w:rPr>
          <w:rFonts w:cstheme="minorHAnsi"/>
          <w:bCs/>
        </w:rPr>
        <w:t>ebroken vliezen</w:t>
      </w:r>
    </w:p>
    <w:p w14:paraId="6B4C2EB1" w14:textId="77777777" w:rsidR="004D258A" w:rsidRPr="00CF6E5A" w:rsidRDefault="004D258A" w:rsidP="004D258A">
      <w:pPr>
        <w:pStyle w:val="Lijstalinea"/>
        <w:numPr>
          <w:ilvl w:val="0"/>
          <w:numId w:val="30"/>
        </w:numPr>
        <w:spacing w:line="240" w:lineRule="auto"/>
        <w:rPr>
          <w:rFonts w:cstheme="minorHAnsi"/>
          <w:bCs/>
        </w:rPr>
      </w:pPr>
      <w:r>
        <w:rPr>
          <w:rFonts w:cstheme="minorHAnsi"/>
          <w:bCs/>
        </w:rPr>
        <w:t>m</w:t>
      </w:r>
      <w:r w:rsidRPr="00CF6E5A">
        <w:rPr>
          <w:rFonts w:cstheme="minorHAnsi"/>
          <w:bCs/>
        </w:rPr>
        <w:t>eerling graviditeit</w:t>
      </w:r>
    </w:p>
    <w:p w14:paraId="64A82F77" w14:textId="77777777" w:rsidR="004D258A" w:rsidRPr="000212CA" w:rsidRDefault="004D258A" w:rsidP="000212CA">
      <w:pPr>
        <w:pStyle w:val="Geenafstand"/>
        <w:rPr>
          <w:b/>
        </w:rPr>
      </w:pPr>
      <w:r w:rsidRPr="000212CA">
        <w:rPr>
          <w:b/>
        </w:rPr>
        <w:t xml:space="preserve">Relatieve contra-indicaties voor uitwendige versie: </w:t>
      </w:r>
    </w:p>
    <w:p w14:paraId="2331C91D" w14:textId="77777777" w:rsidR="004D258A" w:rsidRPr="00CF6E5A" w:rsidRDefault="004D258A" w:rsidP="004D258A">
      <w:pPr>
        <w:pStyle w:val="Lijstalinea"/>
        <w:numPr>
          <w:ilvl w:val="0"/>
          <w:numId w:val="31"/>
        </w:numPr>
        <w:spacing w:line="240" w:lineRule="auto"/>
        <w:rPr>
          <w:rFonts w:cstheme="minorHAnsi"/>
          <w:bCs/>
        </w:rPr>
      </w:pPr>
      <w:r>
        <w:rPr>
          <w:rFonts w:cstheme="minorHAnsi"/>
          <w:bCs/>
        </w:rPr>
        <w:t>l</w:t>
      </w:r>
      <w:r w:rsidRPr="00CF6E5A">
        <w:rPr>
          <w:rFonts w:cstheme="minorHAnsi"/>
          <w:bCs/>
        </w:rPr>
        <w:t>itteken uterus</w:t>
      </w:r>
    </w:p>
    <w:p w14:paraId="47FD320E" w14:textId="77777777" w:rsidR="004D258A" w:rsidRPr="00CF6E5A" w:rsidRDefault="004D258A" w:rsidP="004D258A">
      <w:pPr>
        <w:pStyle w:val="Lijstalinea"/>
        <w:numPr>
          <w:ilvl w:val="0"/>
          <w:numId w:val="31"/>
        </w:numPr>
        <w:spacing w:line="240" w:lineRule="auto"/>
        <w:rPr>
          <w:rFonts w:cstheme="minorHAnsi"/>
          <w:bCs/>
        </w:rPr>
      </w:pPr>
      <w:r>
        <w:rPr>
          <w:rFonts w:cstheme="minorHAnsi"/>
          <w:bCs/>
        </w:rPr>
        <w:t>u</w:t>
      </w:r>
      <w:r w:rsidRPr="00CF6E5A">
        <w:rPr>
          <w:rFonts w:cstheme="minorHAnsi"/>
          <w:bCs/>
        </w:rPr>
        <w:t>terusanomalie</w:t>
      </w:r>
    </w:p>
    <w:p w14:paraId="577618BA" w14:textId="77777777" w:rsidR="004D258A" w:rsidRPr="00CF6E5A" w:rsidRDefault="004D258A" w:rsidP="004D258A">
      <w:pPr>
        <w:pStyle w:val="Lijstalinea"/>
        <w:numPr>
          <w:ilvl w:val="0"/>
          <w:numId w:val="31"/>
        </w:numPr>
        <w:spacing w:line="240" w:lineRule="auto"/>
        <w:rPr>
          <w:rFonts w:cstheme="minorHAnsi"/>
          <w:bCs/>
        </w:rPr>
      </w:pPr>
      <w:r>
        <w:rPr>
          <w:rFonts w:cstheme="minorHAnsi"/>
          <w:bCs/>
        </w:rPr>
        <w:t>f</w:t>
      </w:r>
      <w:r w:rsidRPr="00CF6E5A">
        <w:rPr>
          <w:rFonts w:cstheme="minorHAnsi"/>
          <w:bCs/>
        </w:rPr>
        <w:t>oetale groeivertraging</w:t>
      </w:r>
    </w:p>
    <w:p w14:paraId="689F8902" w14:textId="77777777" w:rsidR="004D258A" w:rsidRPr="00CF6E5A" w:rsidRDefault="004D258A" w:rsidP="004D258A">
      <w:pPr>
        <w:pStyle w:val="Lijstalinea"/>
        <w:numPr>
          <w:ilvl w:val="0"/>
          <w:numId w:val="31"/>
        </w:numPr>
        <w:spacing w:line="240" w:lineRule="auto"/>
        <w:rPr>
          <w:rFonts w:cstheme="minorHAnsi"/>
          <w:bCs/>
        </w:rPr>
      </w:pPr>
      <w:r>
        <w:rPr>
          <w:rFonts w:cstheme="minorHAnsi"/>
          <w:bCs/>
        </w:rPr>
        <w:t>o</w:t>
      </w:r>
      <w:r w:rsidRPr="00CF6E5A">
        <w:rPr>
          <w:rFonts w:cstheme="minorHAnsi"/>
          <w:bCs/>
        </w:rPr>
        <w:t>l</w:t>
      </w:r>
      <w:r>
        <w:rPr>
          <w:rFonts w:cstheme="minorHAnsi"/>
          <w:bCs/>
        </w:rPr>
        <w:t>igo</w:t>
      </w:r>
      <w:r w:rsidRPr="00CF6E5A">
        <w:rPr>
          <w:rFonts w:cstheme="minorHAnsi"/>
          <w:bCs/>
        </w:rPr>
        <w:t>hydramnion</w:t>
      </w:r>
    </w:p>
    <w:p w14:paraId="4B581214" w14:textId="77777777" w:rsidR="004D258A" w:rsidRDefault="004D258A" w:rsidP="004D258A">
      <w:pPr>
        <w:pStyle w:val="Lijstalinea"/>
        <w:numPr>
          <w:ilvl w:val="0"/>
          <w:numId w:val="31"/>
        </w:numPr>
        <w:spacing w:line="240" w:lineRule="auto"/>
        <w:rPr>
          <w:rFonts w:cstheme="minorHAnsi"/>
          <w:bCs/>
        </w:rPr>
      </w:pPr>
      <w:r>
        <w:rPr>
          <w:rFonts w:cstheme="minorHAnsi"/>
          <w:bCs/>
        </w:rPr>
        <w:t>p</w:t>
      </w:r>
      <w:r w:rsidRPr="00CF6E5A">
        <w:rPr>
          <w:rFonts w:cstheme="minorHAnsi"/>
          <w:bCs/>
        </w:rPr>
        <w:t xml:space="preserve">re-eclampsie / ernstige hypertensie </w:t>
      </w:r>
    </w:p>
    <w:p w14:paraId="0CBA68E1" w14:textId="77777777" w:rsidR="004D258A" w:rsidRPr="00CF6E5A" w:rsidRDefault="004D258A" w:rsidP="004D258A">
      <w:pPr>
        <w:pStyle w:val="Lijstalinea"/>
        <w:numPr>
          <w:ilvl w:val="0"/>
          <w:numId w:val="31"/>
        </w:numPr>
        <w:spacing w:line="240" w:lineRule="auto"/>
        <w:rPr>
          <w:rFonts w:cstheme="minorHAnsi"/>
          <w:bCs/>
        </w:rPr>
      </w:pPr>
      <w:r>
        <w:rPr>
          <w:rFonts w:cstheme="minorHAnsi"/>
          <w:bCs/>
        </w:rPr>
        <w:t>HIV of HbsAg positief</w:t>
      </w:r>
    </w:p>
    <w:p w14:paraId="4F7F73AD" w14:textId="77777777" w:rsidR="00B211E7" w:rsidRPr="00B211E7" w:rsidRDefault="00B211E7" w:rsidP="00B211E7">
      <w:pPr>
        <w:pStyle w:val="Geenafstand"/>
        <w:rPr>
          <w:b/>
          <w:u w:val="single"/>
        </w:rPr>
      </w:pPr>
      <w:r w:rsidRPr="00B211E7">
        <w:rPr>
          <w:b/>
        </w:rPr>
        <w:t>Complicaties</w:t>
      </w:r>
    </w:p>
    <w:p w14:paraId="67859C5F" w14:textId="77777777" w:rsidR="00B211E7" w:rsidRDefault="00B211E7" w:rsidP="00B211E7">
      <w:pPr>
        <w:pStyle w:val="Lijstalinea"/>
        <w:numPr>
          <w:ilvl w:val="0"/>
          <w:numId w:val="10"/>
        </w:numPr>
        <w:spacing w:line="240" w:lineRule="auto"/>
        <w:rPr>
          <w:rFonts w:cstheme="minorHAnsi"/>
          <w:lang w:val="en-US"/>
        </w:rPr>
      </w:pPr>
      <w:r>
        <w:rPr>
          <w:rFonts w:cstheme="minorHAnsi"/>
          <w:lang w:val="en-US"/>
        </w:rPr>
        <w:t>persisterende CTG afwijkingen (0.36%)</w:t>
      </w:r>
    </w:p>
    <w:p w14:paraId="0BCCD144" w14:textId="77777777" w:rsidR="00B211E7" w:rsidRPr="00634735" w:rsidRDefault="00B211E7" w:rsidP="00B211E7">
      <w:pPr>
        <w:pStyle w:val="Lijstalinea"/>
        <w:numPr>
          <w:ilvl w:val="0"/>
          <w:numId w:val="10"/>
        </w:numPr>
        <w:spacing w:line="240" w:lineRule="auto"/>
        <w:rPr>
          <w:rFonts w:cstheme="minorHAnsi"/>
          <w:lang w:val="en-US"/>
        </w:rPr>
      </w:pPr>
      <w:r>
        <w:rPr>
          <w:rFonts w:cstheme="minorHAnsi"/>
        </w:rPr>
        <w:t>vaginaal bloedverlies (0.47%)</w:t>
      </w:r>
    </w:p>
    <w:p w14:paraId="4B84CEA2" w14:textId="77777777" w:rsidR="00B211E7" w:rsidRDefault="00B211E7" w:rsidP="00B211E7">
      <w:pPr>
        <w:pStyle w:val="Lijstalinea"/>
        <w:numPr>
          <w:ilvl w:val="0"/>
          <w:numId w:val="10"/>
        </w:numPr>
        <w:spacing w:line="240" w:lineRule="auto"/>
        <w:rPr>
          <w:rFonts w:cstheme="minorHAnsi"/>
        </w:rPr>
      </w:pPr>
      <w:r>
        <w:rPr>
          <w:rFonts w:cstheme="minorHAnsi"/>
        </w:rPr>
        <w:t>partiële abruptio (0.12%) (vergelijkbaar met achtergrondrisico, NVOG, 2008)</w:t>
      </w:r>
    </w:p>
    <w:p w14:paraId="40F7E7C8" w14:textId="77777777" w:rsidR="00B211E7" w:rsidRDefault="00B211E7" w:rsidP="00B211E7">
      <w:pPr>
        <w:pStyle w:val="Lijstalinea"/>
        <w:numPr>
          <w:ilvl w:val="0"/>
          <w:numId w:val="10"/>
        </w:numPr>
        <w:spacing w:line="240" w:lineRule="auto"/>
        <w:rPr>
          <w:rFonts w:cstheme="minorHAnsi"/>
        </w:rPr>
      </w:pPr>
      <w:r>
        <w:rPr>
          <w:rFonts w:cstheme="minorHAnsi"/>
        </w:rPr>
        <w:lastRenderedPageBreak/>
        <w:t>passagère CTG afwijkingen (5,7%)</w:t>
      </w:r>
    </w:p>
    <w:p w14:paraId="0183AFB6" w14:textId="77777777" w:rsidR="00B211E7" w:rsidRDefault="00B211E7" w:rsidP="00B211E7">
      <w:pPr>
        <w:pStyle w:val="Lijstalinea"/>
        <w:numPr>
          <w:ilvl w:val="0"/>
          <w:numId w:val="10"/>
        </w:numPr>
        <w:spacing w:line="240" w:lineRule="auto"/>
        <w:rPr>
          <w:rFonts w:cstheme="minorHAnsi"/>
        </w:rPr>
      </w:pPr>
      <w:r>
        <w:rPr>
          <w:rFonts w:cstheme="minorHAnsi"/>
        </w:rPr>
        <w:t>breken van de vliezen prematuur</w:t>
      </w:r>
    </w:p>
    <w:p w14:paraId="33F89A9B" w14:textId="77777777" w:rsidR="00B211E7" w:rsidRDefault="00B211E7" w:rsidP="00B211E7">
      <w:pPr>
        <w:pStyle w:val="Lijstalinea"/>
        <w:numPr>
          <w:ilvl w:val="0"/>
          <w:numId w:val="10"/>
        </w:numPr>
        <w:spacing w:line="240" w:lineRule="auto"/>
        <w:rPr>
          <w:rFonts w:cstheme="minorHAnsi"/>
        </w:rPr>
      </w:pPr>
      <w:r>
        <w:rPr>
          <w:rFonts w:cstheme="minorHAnsi"/>
        </w:rPr>
        <w:t>verdenking foetale nood waarvoor een spoedsectio (0,43%)</w:t>
      </w:r>
    </w:p>
    <w:p w14:paraId="627C2417" w14:textId="3691597D" w:rsidR="00B211E7" w:rsidRDefault="00B211E7" w:rsidP="000212CA">
      <w:pPr>
        <w:pStyle w:val="Geenafstand"/>
        <w:rPr>
          <w:b/>
        </w:rPr>
      </w:pPr>
    </w:p>
    <w:p w14:paraId="0122EFF3" w14:textId="77777777" w:rsidR="00B211E7" w:rsidRDefault="00B211E7" w:rsidP="000212CA">
      <w:pPr>
        <w:pStyle w:val="Geenafstand"/>
        <w:rPr>
          <w:b/>
        </w:rPr>
      </w:pPr>
    </w:p>
    <w:p w14:paraId="3409EDAE" w14:textId="44102FFD" w:rsidR="00CF6E5A" w:rsidRPr="000212CA" w:rsidRDefault="00FC5EF1" w:rsidP="000212CA">
      <w:pPr>
        <w:pStyle w:val="Geenafstand"/>
        <w:rPr>
          <w:b/>
        </w:rPr>
      </w:pPr>
      <w:r w:rsidRPr="000212CA">
        <w:rPr>
          <w:b/>
        </w:rPr>
        <w:t>Ritodrine</w:t>
      </w:r>
    </w:p>
    <w:p w14:paraId="44AAD86F" w14:textId="048C0408" w:rsidR="00B73788" w:rsidRDefault="00B73788" w:rsidP="00C95CD1">
      <w:r w:rsidRPr="000212CA">
        <w:t xml:space="preserve">Informed consent </w:t>
      </w:r>
      <w:r w:rsidR="000212CA">
        <w:t>ritodrine intramusculair</w:t>
      </w:r>
      <w:r w:rsidR="00CF6E5A" w:rsidRPr="000212CA">
        <w:t xml:space="preserve"> </w:t>
      </w:r>
      <w:r w:rsidR="000212CA">
        <w:t>gewenst</w:t>
      </w:r>
      <w:r w:rsidR="005D70EB">
        <w:t xml:space="preserve"> dit </w:t>
      </w:r>
      <w:r>
        <w:t>noteren in het dossier.</w:t>
      </w:r>
    </w:p>
    <w:p w14:paraId="4360A8B6" w14:textId="1383BE14" w:rsidR="003A362D" w:rsidRDefault="000212CA" w:rsidP="00C95CD1">
      <w:r>
        <w:t>R</w:t>
      </w:r>
      <w:r w:rsidR="00CF6E5A">
        <w:t>itodrine</w:t>
      </w:r>
      <w:r>
        <w:t xml:space="preserve"> 10 mg intramusculair</w:t>
      </w:r>
      <w:r w:rsidR="00CF6E5A">
        <w:t xml:space="preserve">: </w:t>
      </w:r>
      <w:r w:rsidR="00FC5EF1" w:rsidRPr="006C6D68">
        <w:t>toediening 5 tot 15 minuten voor uitwendige versie poging</w:t>
      </w:r>
      <w:r>
        <w:t xml:space="preserve">. </w:t>
      </w:r>
      <w:r w:rsidR="00CF6E5A">
        <w:t xml:space="preserve"> </w:t>
      </w:r>
      <w:r>
        <w:t>B</w:t>
      </w:r>
      <w:r w:rsidR="003A362D">
        <w:t xml:space="preserve">ijwerkingen: </w:t>
      </w:r>
      <w:r w:rsidR="004D258A">
        <w:t xml:space="preserve">blozen, misselijkheid, zweten, </w:t>
      </w:r>
      <w:r w:rsidR="003A362D">
        <w:t>palpitaties, rusteloosheid, tremor, zakken 2-4 uur na toedi</w:t>
      </w:r>
      <w:r w:rsidR="00887E6B">
        <w:t xml:space="preserve">ening weer af. </w:t>
      </w:r>
    </w:p>
    <w:p w14:paraId="538CEBB8" w14:textId="77777777" w:rsidR="00172610" w:rsidRDefault="00172610" w:rsidP="00C95CD1"/>
    <w:p w14:paraId="6F27677C" w14:textId="59E85FE1" w:rsidR="004D258A" w:rsidRPr="000212CA" w:rsidRDefault="004D258A" w:rsidP="000212CA">
      <w:pPr>
        <w:pStyle w:val="Geenafstand"/>
        <w:rPr>
          <w:b/>
        </w:rPr>
      </w:pPr>
      <w:r w:rsidRPr="000212CA">
        <w:rPr>
          <w:b/>
        </w:rPr>
        <w:t>Relatieve contra-indicaties voor gebruik van ritodrine:</w:t>
      </w:r>
    </w:p>
    <w:p w14:paraId="55B9E400" w14:textId="77777777" w:rsidR="004D258A" w:rsidRPr="009C664F" w:rsidRDefault="004D258A" w:rsidP="004D258A">
      <w:pPr>
        <w:pStyle w:val="Lijstalinea"/>
        <w:numPr>
          <w:ilvl w:val="0"/>
          <w:numId w:val="9"/>
        </w:numPr>
        <w:spacing w:line="240" w:lineRule="auto"/>
        <w:rPr>
          <w:rFonts w:cstheme="minorHAnsi"/>
        </w:rPr>
      </w:pPr>
      <w:r>
        <w:rPr>
          <w:rFonts w:cstheme="minorHAnsi"/>
        </w:rPr>
        <w:t>h</w:t>
      </w:r>
      <w:r w:rsidRPr="009C664F">
        <w:rPr>
          <w:rFonts w:cstheme="minorHAnsi"/>
        </w:rPr>
        <w:t xml:space="preserve">yperthyreoïdie </w:t>
      </w:r>
    </w:p>
    <w:p w14:paraId="576CB9D4" w14:textId="77777777" w:rsidR="004D258A" w:rsidRPr="009C664F" w:rsidRDefault="004D258A" w:rsidP="004D258A">
      <w:pPr>
        <w:pStyle w:val="Lijstalinea"/>
        <w:numPr>
          <w:ilvl w:val="0"/>
          <w:numId w:val="9"/>
        </w:numPr>
        <w:spacing w:line="240" w:lineRule="auto"/>
        <w:rPr>
          <w:rFonts w:cstheme="minorHAnsi"/>
        </w:rPr>
      </w:pPr>
      <w:r>
        <w:rPr>
          <w:rFonts w:cstheme="minorHAnsi"/>
        </w:rPr>
        <w:t>h</w:t>
      </w:r>
      <w:r w:rsidRPr="009C664F">
        <w:rPr>
          <w:rFonts w:cstheme="minorHAnsi"/>
        </w:rPr>
        <w:t>ypertrofische obstructieve cardiomyopathie, subvalvulaire aortastenose</w:t>
      </w:r>
    </w:p>
    <w:p w14:paraId="0121CE17" w14:textId="77777777" w:rsidR="004D258A" w:rsidRPr="009C664F" w:rsidRDefault="004D258A" w:rsidP="004D258A">
      <w:pPr>
        <w:pStyle w:val="Lijstalinea"/>
        <w:numPr>
          <w:ilvl w:val="0"/>
          <w:numId w:val="9"/>
        </w:numPr>
        <w:spacing w:line="240" w:lineRule="auto"/>
        <w:rPr>
          <w:rFonts w:cstheme="minorHAnsi"/>
        </w:rPr>
      </w:pPr>
      <w:r>
        <w:rPr>
          <w:rFonts w:cstheme="minorHAnsi"/>
        </w:rPr>
        <w:t>t</w:t>
      </w:r>
      <w:r w:rsidRPr="009C664F">
        <w:rPr>
          <w:rFonts w:cstheme="minorHAnsi"/>
        </w:rPr>
        <w:t>achycardie en andere ritmestoornissen, m.n. bij hypokaliëmie</w:t>
      </w:r>
    </w:p>
    <w:p w14:paraId="08EBF431" w14:textId="77777777" w:rsidR="004D258A" w:rsidRPr="009C664F" w:rsidRDefault="004D258A" w:rsidP="004D258A">
      <w:pPr>
        <w:pStyle w:val="Lijstalinea"/>
        <w:numPr>
          <w:ilvl w:val="0"/>
          <w:numId w:val="9"/>
        </w:numPr>
        <w:spacing w:line="240" w:lineRule="auto"/>
        <w:rPr>
          <w:rFonts w:cstheme="minorHAnsi"/>
        </w:rPr>
      </w:pPr>
      <w:r>
        <w:rPr>
          <w:rFonts w:cstheme="minorHAnsi"/>
        </w:rPr>
        <w:t>o</w:t>
      </w:r>
      <w:r w:rsidRPr="009C664F">
        <w:rPr>
          <w:rFonts w:cstheme="minorHAnsi"/>
        </w:rPr>
        <w:t xml:space="preserve">vergevoeligheid voor parasympathicolytica of sympathicomimetica </w:t>
      </w:r>
    </w:p>
    <w:p w14:paraId="5F03B93E" w14:textId="77777777" w:rsidR="004D258A" w:rsidRPr="009C664F" w:rsidRDefault="004D258A" w:rsidP="004D258A">
      <w:pPr>
        <w:pStyle w:val="Lijstalinea"/>
        <w:numPr>
          <w:ilvl w:val="0"/>
          <w:numId w:val="9"/>
        </w:numPr>
        <w:spacing w:line="240" w:lineRule="auto"/>
        <w:rPr>
          <w:rFonts w:cstheme="minorHAnsi"/>
        </w:rPr>
      </w:pPr>
      <w:r>
        <w:rPr>
          <w:rFonts w:cstheme="minorHAnsi"/>
        </w:rPr>
        <w:t>a</w:t>
      </w:r>
      <w:r w:rsidRPr="009C664F">
        <w:rPr>
          <w:rFonts w:cstheme="minorHAnsi"/>
        </w:rPr>
        <w:t>fwijkende lever-/nierfunctie</w:t>
      </w:r>
    </w:p>
    <w:p w14:paraId="2CE662C4" w14:textId="77777777" w:rsidR="004D258A" w:rsidRPr="009C664F" w:rsidRDefault="004D258A" w:rsidP="004D258A">
      <w:pPr>
        <w:pStyle w:val="Lijstalinea"/>
        <w:numPr>
          <w:ilvl w:val="0"/>
          <w:numId w:val="9"/>
        </w:numPr>
        <w:spacing w:line="240" w:lineRule="auto"/>
        <w:rPr>
          <w:rFonts w:cstheme="minorHAnsi"/>
        </w:rPr>
      </w:pPr>
      <w:r>
        <w:rPr>
          <w:rFonts w:cstheme="minorHAnsi"/>
        </w:rPr>
        <w:t>a</w:t>
      </w:r>
      <w:r w:rsidRPr="009C664F">
        <w:rPr>
          <w:rFonts w:cstheme="minorHAnsi"/>
        </w:rPr>
        <w:t xml:space="preserve">stma behandeld met beta2sympathicomimetica en/of corticosteroïden </w:t>
      </w:r>
    </w:p>
    <w:p w14:paraId="1D67D644" w14:textId="77777777" w:rsidR="004D258A" w:rsidRPr="009C664F" w:rsidRDefault="004D258A" w:rsidP="004D258A">
      <w:pPr>
        <w:pStyle w:val="Lijstalinea"/>
        <w:numPr>
          <w:ilvl w:val="0"/>
          <w:numId w:val="9"/>
        </w:numPr>
        <w:spacing w:line="240" w:lineRule="auto"/>
        <w:rPr>
          <w:rFonts w:cstheme="minorHAnsi"/>
        </w:rPr>
      </w:pPr>
      <w:r>
        <w:rPr>
          <w:rFonts w:cstheme="minorHAnsi"/>
        </w:rPr>
        <w:t>g</w:t>
      </w:r>
      <w:r w:rsidRPr="009C664F">
        <w:rPr>
          <w:rFonts w:cstheme="minorHAnsi"/>
        </w:rPr>
        <w:t>ebruik van NSAIDs, β-blokkers (labetalol/trandate®), xanthine derivaten (Theofylline®),</w:t>
      </w:r>
    </w:p>
    <w:p w14:paraId="74470596" w14:textId="05D87B70" w:rsidR="004D258A" w:rsidRPr="004D258A" w:rsidRDefault="004D258A" w:rsidP="004D258A">
      <w:pPr>
        <w:pStyle w:val="Lijstalinea"/>
        <w:spacing w:line="240" w:lineRule="auto"/>
        <w:rPr>
          <w:rFonts w:cstheme="minorHAnsi"/>
        </w:rPr>
      </w:pPr>
      <w:r w:rsidRPr="004D258A">
        <w:rPr>
          <w:rFonts w:cstheme="minorHAnsi"/>
        </w:rPr>
        <w:t xml:space="preserve">Tricyclische antidepressiva, calcium, mineraalcorticosteroïden.   </w:t>
      </w:r>
    </w:p>
    <w:p w14:paraId="0B56B9AB" w14:textId="77777777" w:rsidR="00B211E7" w:rsidRPr="00B211E7" w:rsidRDefault="004D258A" w:rsidP="00B211E7">
      <w:pPr>
        <w:rPr>
          <w:b/>
          <w:bCs/>
          <w:u w:val="single"/>
        </w:rPr>
      </w:pPr>
      <w:r w:rsidRPr="00323CFF">
        <w:br/>
      </w:r>
      <w:r w:rsidRPr="00B211E7">
        <w:rPr>
          <w:b/>
          <w:bCs/>
          <w:u w:val="single"/>
        </w:rPr>
        <w:t>Werkwijze voorbereiden</w:t>
      </w:r>
    </w:p>
    <w:p w14:paraId="1D152BB2" w14:textId="4A6477DA" w:rsidR="004D258A" w:rsidRPr="00B211E7" w:rsidRDefault="004D258A" w:rsidP="00B211E7">
      <w:pPr>
        <w:pStyle w:val="Geenafstand"/>
        <w:rPr>
          <w:b/>
          <w:bCs/>
        </w:rPr>
      </w:pPr>
      <w:r>
        <w:rPr>
          <w:b/>
          <w:bCs/>
          <w:u w:val="single"/>
        </w:rPr>
        <w:br/>
      </w:r>
      <w:r w:rsidRPr="00471345">
        <w:t>Echoscopisch onderzoek en verifieer:</w:t>
      </w:r>
      <w:r>
        <w:rPr>
          <w:b/>
          <w:bCs/>
          <w:u w:val="single"/>
        </w:rPr>
        <w:t xml:space="preserve"> </w:t>
      </w:r>
    </w:p>
    <w:p w14:paraId="503A0535" w14:textId="77777777" w:rsidR="004D258A" w:rsidRPr="00EB1AEB" w:rsidRDefault="004D258A" w:rsidP="004D258A">
      <w:pPr>
        <w:pStyle w:val="Lijstalinea"/>
        <w:numPr>
          <w:ilvl w:val="0"/>
          <w:numId w:val="6"/>
        </w:numPr>
        <w:rPr>
          <w:b/>
          <w:bCs/>
          <w:u w:val="single"/>
        </w:rPr>
      </w:pPr>
      <w:r>
        <w:t>type stuitligging;</w:t>
      </w:r>
    </w:p>
    <w:p w14:paraId="5CE6AF46" w14:textId="77777777" w:rsidR="004D258A" w:rsidRPr="00EB1AEB" w:rsidRDefault="004D258A" w:rsidP="004D258A">
      <w:pPr>
        <w:pStyle w:val="Lijstalinea"/>
        <w:numPr>
          <w:ilvl w:val="0"/>
          <w:numId w:val="6"/>
        </w:numPr>
        <w:rPr>
          <w:b/>
          <w:bCs/>
          <w:u w:val="single"/>
        </w:rPr>
      </w:pPr>
      <w:r>
        <w:t xml:space="preserve">positie van de rug; </w:t>
      </w:r>
    </w:p>
    <w:p w14:paraId="18DEF549" w14:textId="77777777" w:rsidR="004D258A" w:rsidRPr="00EB1AEB" w:rsidRDefault="004D258A" w:rsidP="004D258A">
      <w:pPr>
        <w:pStyle w:val="Lijstalinea"/>
        <w:numPr>
          <w:ilvl w:val="0"/>
          <w:numId w:val="6"/>
        </w:numPr>
        <w:rPr>
          <w:b/>
          <w:bCs/>
          <w:u w:val="single"/>
        </w:rPr>
      </w:pPr>
      <w:r>
        <w:t>lokalisatie van de placenta;</w:t>
      </w:r>
    </w:p>
    <w:p w14:paraId="3C74B7BA" w14:textId="77777777" w:rsidR="004D258A" w:rsidRPr="00EB1AEB" w:rsidRDefault="004D258A" w:rsidP="004D258A">
      <w:pPr>
        <w:pStyle w:val="Lijstalinea"/>
        <w:numPr>
          <w:ilvl w:val="0"/>
          <w:numId w:val="6"/>
        </w:numPr>
        <w:rPr>
          <w:b/>
          <w:bCs/>
          <w:u w:val="single"/>
        </w:rPr>
      </w:pPr>
      <w:r>
        <w:t>biometrie na gaan in de status; indien niet recent gemeten (&gt;2 weken) zal er voor de versie een biometrie gedaan worden. (biometrie recent door de 1</w:t>
      </w:r>
      <w:r w:rsidRPr="00CF6E5A">
        <w:rPr>
          <w:vertAlign w:val="superscript"/>
        </w:rPr>
        <w:t>e</w:t>
      </w:r>
      <w:r>
        <w:t xml:space="preserve"> lijn gedaan, metingen overnemen in Astraia onder zorgverlener extern) </w:t>
      </w:r>
    </w:p>
    <w:p w14:paraId="64B93BFA" w14:textId="67F335CE" w:rsidR="004D258A" w:rsidRPr="000212CA" w:rsidRDefault="004D258A" w:rsidP="004D258A">
      <w:pPr>
        <w:pStyle w:val="Lijstalinea"/>
        <w:numPr>
          <w:ilvl w:val="0"/>
          <w:numId w:val="6"/>
        </w:numPr>
        <w:rPr>
          <w:b/>
          <w:bCs/>
          <w:u w:val="single"/>
        </w:rPr>
      </w:pPr>
      <w:r>
        <w:t>amniotic fluid index;</w:t>
      </w:r>
    </w:p>
    <w:p w14:paraId="78640031" w14:textId="274FB4C3" w:rsidR="000212CA" w:rsidRPr="007B37B9" w:rsidRDefault="000212CA" w:rsidP="004D258A">
      <w:pPr>
        <w:pStyle w:val="Lijstalinea"/>
        <w:numPr>
          <w:ilvl w:val="0"/>
          <w:numId w:val="6"/>
        </w:numPr>
        <w:rPr>
          <w:b/>
          <w:bCs/>
          <w:u w:val="single"/>
        </w:rPr>
      </w:pPr>
      <w:r>
        <w:t xml:space="preserve">Indien in de zwangerschap geen onderzoek verricht is naar structurele afwijkingen, </w:t>
      </w:r>
      <w:r w:rsidR="00055748">
        <w:t>alertheid op grove structurele afwijkingen.</w:t>
      </w:r>
    </w:p>
    <w:p w14:paraId="672251E3" w14:textId="77777777" w:rsidR="00B211E7" w:rsidRPr="00B211E7" w:rsidRDefault="00B211E7" w:rsidP="00B211E7">
      <w:pPr>
        <w:pStyle w:val="Lijstalinea"/>
        <w:rPr>
          <w:b/>
          <w:bCs/>
          <w:u w:val="single"/>
        </w:rPr>
      </w:pPr>
    </w:p>
    <w:p w14:paraId="313EC4C1" w14:textId="55B04A61" w:rsidR="004D258A" w:rsidRPr="000E6294" w:rsidRDefault="004D258A" w:rsidP="004D258A">
      <w:pPr>
        <w:pStyle w:val="Lijstalinea"/>
        <w:numPr>
          <w:ilvl w:val="0"/>
          <w:numId w:val="6"/>
        </w:numPr>
        <w:rPr>
          <w:b/>
          <w:bCs/>
          <w:u w:val="single"/>
        </w:rPr>
      </w:pPr>
      <w:r>
        <w:t>CTG voorafgaand aan de poging;</w:t>
      </w:r>
    </w:p>
    <w:p w14:paraId="3F3E49D6" w14:textId="747C1019" w:rsidR="004D258A" w:rsidRPr="00B211E7" w:rsidRDefault="004D258A" w:rsidP="00172610">
      <w:pPr>
        <w:pStyle w:val="Lijstalinea"/>
        <w:numPr>
          <w:ilvl w:val="0"/>
          <w:numId w:val="6"/>
        </w:numPr>
        <w:rPr>
          <w:b/>
          <w:bCs/>
          <w:u w:val="single"/>
        </w:rPr>
      </w:pPr>
      <w:r>
        <w:t>lege blaas.</w:t>
      </w:r>
    </w:p>
    <w:p w14:paraId="43476DFC" w14:textId="77777777" w:rsidR="00B211E7" w:rsidRPr="00C84EC6" w:rsidRDefault="00B211E7" w:rsidP="00B211E7">
      <w:pPr>
        <w:pStyle w:val="Lijstalinea"/>
        <w:numPr>
          <w:ilvl w:val="0"/>
          <w:numId w:val="13"/>
        </w:numPr>
        <w:spacing w:line="240" w:lineRule="auto"/>
        <w:rPr>
          <w:rFonts w:cstheme="minorHAnsi"/>
        </w:rPr>
      </w:pPr>
      <w:r w:rsidRPr="00C84EC6">
        <w:rPr>
          <w:rFonts w:cstheme="minorHAnsi"/>
        </w:rPr>
        <w:t xml:space="preserve">Stuit luxeren uit de bekkeningang en naar rugzijde van de foetus bewegen (zo nodig talkpoeder of warme echogel op buik). Door druk op het caput de foetus in flexie duwen en vervolgens het caput naar de bekkeningang duwen. Eventueel kan een helper de stuit fixeren of naar craniaal duwen. </w:t>
      </w:r>
    </w:p>
    <w:p w14:paraId="2653368A" w14:textId="77777777" w:rsidR="00B211E7" w:rsidRPr="00C84EC6" w:rsidRDefault="00B211E7" w:rsidP="00B211E7">
      <w:pPr>
        <w:pStyle w:val="Lijstalinea"/>
        <w:numPr>
          <w:ilvl w:val="0"/>
          <w:numId w:val="13"/>
        </w:numPr>
        <w:spacing w:line="240" w:lineRule="auto"/>
        <w:rPr>
          <w:rFonts w:cstheme="minorHAnsi"/>
        </w:rPr>
      </w:pPr>
      <w:r w:rsidRPr="00C84EC6">
        <w:rPr>
          <w:rFonts w:cstheme="minorHAnsi"/>
        </w:rPr>
        <w:t xml:space="preserve">Totale duur van de versiepoging (d.w.z. duur van druk op de foetus) mag niet langer dan 5 minuten. Indien versie niet lukt na 30 min nogmaals een poging. </w:t>
      </w:r>
    </w:p>
    <w:p w14:paraId="61600560" w14:textId="77777777" w:rsidR="00B211E7" w:rsidRPr="00C84EC6" w:rsidRDefault="00B211E7" w:rsidP="00B211E7">
      <w:pPr>
        <w:pStyle w:val="Lijstalinea"/>
        <w:numPr>
          <w:ilvl w:val="0"/>
          <w:numId w:val="13"/>
        </w:numPr>
        <w:spacing w:line="240" w:lineRule="auto"/>
        <w:rPr>
          <w:rFonts w:cstheme="minorHAnsi"/>
        </w:rPr>
      </w:pPr>
      <w:r w:rsidRPr="00C84EC6">
        <w:rPr>
          <w:rFonts w:cstheme="minorHAnsi"/>
        </w:rPr>
        <w:t xml:space="preserve">Daarbij niet opnieuw ritodrine geven. </w:t>
      </w:r>
    </w:p>
    <w:p w14:paraId="3BBB2B63" w14:textId="77777777" w:rsidR="00B211E7" w:rsidRPr="00C84EC6" w:rsidRDefault="00B211E7" w:rsidP="00B211E7">
      <w:pPr>
        <w:pStyle w:val="Lijstalinea"/>
        <w:numPr>
          <w:ilvl w:val="0"/>
          <w:numId w:val="13"/>
        </w:numPr>
        <w:spacing w:line="240" w:lineRule="auto"/>
        <w:rPr>
          <w:rFonts w:cstheme="minorHAnsi"/>
        </w:rPr>
      </w:pPr>
      <w:r w:rsidRPr="00C84EC6">
        <w:rPr>
          <w:rFonts w:cstheme="minorHAnsi"/>
        </w:rPr>
        <w:t xml:space="preserve">Echoscopische verificatie ligging en foetale conditie </w:t>
      </w:r>
    </w:p>
    <w:p w14:paraId="167C43F1" w14:textId="77777777" w:rsidR="00B211E7" w:rsidRDefault="00B211E7" w:rsidP="00B211E7">
      <w:pPr>
        <w:pStyle w:val="Lijstalinea"/>
        <w:numPr>
          <w:ilvl w:val="0"/>
          <w:numId w:val="13"/>
        </w:numPr>
        <w:spacing w:line="240" w:lineRule="auto"/>
        <w:rPr>
          <w:rFonts w:cstheme="minorHAnsi"/>
        </w:rPr>
      </w:pPr>
      <w:r w:rsidRPr="00C84EC6">
        <w:rPr>
          <w:rFonts w:cstheme="minorHAnsi"/>
        </w:rPr>
        <w:t xml:space="preserve">Geslaagde versie = hoofdligging 30 minuten na de versie. </w:t>
      </w:r>
    </w:p>
    <w:p w14:paraId="763C3FCE" w14:textId="68F9BE67" w:rsidR="00B211E7" w:rsidRDefault="00B211E7" w:rsidP="00B211E7">
      <w:pPr>
        <w:spacing w:line="240" w:lineRule="auto"/>
        <w:rPr>
          <w:rFonts w:cstheme="minorHAnsi"/>
          <w:b/>
          <w:bCs/>
        </w:rPr>
      </w:pPr>
      <w:r w:rsidRPr="00E00C5F">
        <w:rPr>
          <w:rFonts w:cstheme="minorHAnsi"/>
          <w:b/>
          <w:bCs/>
        </w:rPr>
        <w:lastRenderedPageBreak/>
        <w:t>W</w:t>
      </w:r>
      <w:r>
        <w:rPr>
          <w:rFonts w:cstheme="minorHAnsi"/>
          <w:b/>
          <w:bCs/>
        </w:rPr>
        <w:t>erkwijze nazorg</w:t>
      </w:r>
      <w:r w:rsidRPr="00E00C5F">
        <w:rPr>
          <w:rFonts w:cstheme="minorHAnsi"/>
          <w:b/>
          <w:bCs/>
        </w:rPr>
        <w:br/>
      </w:r>
      <w:r w:rsidRPr="00E00C5F">
        <w:rPr>
          <w:rFonts w:cstheme="minorHAnsi"/>
          <w:b/>
          <w:bCs/>
          <w:u w:val="single"/>
        </w:rPr>
        <w:t>Na uitwendige versie poging:</w:t>
      </w:r>
      <w:r w:rsidRPr="00E00C5F">
        <w:rPr>
          <w:rFonts w:cstheme="minorHAnsi"/>
          <w:b/>
          <w:bCs/>
        </w:rPr>
        <w:t xml:space="preserve"> </w:t>
      </w:r>
    </w:p>
    <w:p w14:paraId="0068BFCB" w14:textId="77777777" w:rsidR="00B211E7" w:rsidRPr="000238D6" w:rsidRDefault="00B211E7" w:rsidP="00B211E7">
      <w:pPr>
        <w:pStyle w:val="Lijstalinea"/>
        <w:numPr>
          <w:ilvl w:val="0"/>
          <w:numId w:val="15"/>
        </w:numPr>
        <w:spacing w:line="240" w:lineRule="auto"/>
        <w:rPr>
          <w:rFonts w:cstheme="minorHAnsi"/>
        </w:rPr>
      </w:pPr>
      <w:r w:rsidRPr="000238D6">
        <w:rPr>
          <w:rFonts w:cstheme="minorHAnsi"/>
        </w:rPr>
        <w:t>CTG na afloop</w:t>
      </w:r>
    </w:p>
    <w:p w14:paraId="4D928F42" w14:textId="55D46E3F" w:rsidR="00B211E7" w:rsidRDefault="00B211E7" w:rsidP="00B211E7">
      <w:pPr>
        <w:pStyle w:val="Lijstalinea"/>
        <w:numPr>
          <w:ilvl w:val="0"/>
          <w:numId w:val="15"/>
        </w:numPr>
        <w:spacing w:line="240" w:lineRule="auto"/>
        <w:rPr>
          <w:rFonts w:cstheme="minorHAnsi"/>
        </w:rPr>
      </w:pPr>
      <w:r w:rsidRPr="000238D6">
        <w:rPr>
          <w:rFonts w:cstheme="minorHAnsi"/>
        </w:rPr>
        <w:t>1000 IE anti D immunoglobuline na de versiepoging bij Rhesus</w:t>
      </w:r>
      <w:r>
        <w:rPr>
          <w:rFonts w:cstheme="minorHAnsi"/>
        </w:rPr>
        <w:t>-D negatieve zwangeren</w:t>
      </w:r>
      <w:r w:rsidRPr="000238D6">
        <w:rPr>
          <w:rFonts w:cstheme="minorHAnsi"/>
        </w:rPr>
        <w:t xml:space="preserve"> en foetus </w:t>
      </w:r>
      <w:r>
        <w:rPr>
          <w:rFonts w:cstheme="minorHAnsi"/>
        </w:rPr>
        <w:t xml:space="preserve">rhesus-D </w:t>
      </w:r>
      <w:r w:rsidRPr="000238D6">
        <w:rPr>
          <w:rFonts w:cstheme="minorHAnsi"/>
        </w:rPr>
        <w:t xml:space="preserve">positief, onafhankelijk op de versie gelukt is of niet. Als een tweede versiepoging binnen twee weken wordt verricht, is het niet nodig om nogmaals anti-D immunoglobuline toe te dienen. </w:t>
      </w:r>
    </w:p>
    <w:p w14:paraId="0A8EBFE2" w14:textId="30DFB0C3" w:rsidR="00B211E7" w:rsidRDefault="00B211E7" w:rsidP="00B211E7">
      <w:pPr>
        <w:pStyle w:val="Lijstalinea"/>
        <w:numPr>
          <w:ilvl w:val="0"/>
          <w:numId w:val="15"/>
        </w:numPr>
        <w:spacing w:line="240" w:lineRule="auto"/>
        <w:rPr>
          <w:rFonts w:cstheme="minorHAnsi"/>
        </w:rPr>
      </w:pPr>
      <w:r>
        <w:rPr>
          <w:rFonts w:cstheme="minorHAnsi"/>
        </w:rPr>
        <w:t xml:space="preserve">Indien de versie is geslaagd, gaat de zwangere retour naar de eerstelijns verloskundige (dan wel terugverwijzing naar tweedelijn indien medische indicatie). De versiekundige zal altijd na de gedane versiepoging de 1e lijn informeren of de wel of niet geslaagde versie. </w:t>
      </w:r>
    </w:p>
    <w:p w14:paraId="2163E7FE" w14:textId="2C31E226" w:rsidR="00B211E7" w:rsidRDefault="00B211E7" w:rsidP="00B211E7">
      <w:pPr>
        <w:pStyle w:val="Lijstalinea"/>
        <w:numPr>
          <w:ilvl w:val="0"/>
          <w:numId w:val="15"/>
        </w:numPr>
        <w:spacing w:line="240" w:lineRule="auto"/>
        <w:rPr>
          <w:rFonts w:cstheme="minorHAnsi"/>
        </w:rPr>
      </w:pPr>
      <w:r>
        <w:rPr>
          <w:rFonts w:cstheme="minorHAnsi"/>
        </w:rPr>
        <w:t>Wanneer de uitwendige versie niet is geslaagd,  kan er een tweede poging worden afgesproken.</w:t>
      </w:r>
    </w:p>
    <w:p w14:paraId="10C7B92B" w14:textId="432A1806" w:rsidR="00B211E7" w:rsidRDefault="00B211E7" w:rsidP="00B211E7">
      <w:pPr>
        <w:pStyle w:val="Lijstalinea"/>
        <w:spacing w:line="240" w:lineRule="auto"/>
        <w:rPr>
          <w:rFonts w:cstheme="minorHAnsi"/>
        </w:rPr>
      </w:pPr>
      <w:r>
        <w:rPr>
          <w:rFonts w:cstheme="minorHAnsi"/>
        </w:rPr>
        <w:t>(Voorkeur 2e poging met ritodrine, indien eerste poging geen ritodrine is gebruikt).</w:t>
      </w:r>
    </w:p>
    <w:p w14:paraId="59175B72" w14:textId="7EFA4471" w:rsidR="00B211E7" w:rsidRDefault="00B211E7" w:rsidP="00B211E7">
      <w:pPr>
        <w:pStyle w:val="Lijstalinea"/>
        <w:numPr>
          <w:ilvl w:val="0"/>
          <w:numId w:val="15"/>
        </w:numPr>
        <w:spacing w:line="240" w:lineRule="auto"/>
        <w:rPr>
          <w:rFonts w:cstheme="minorHAnsi"/>
        </w:rPr>
      </w:pPr>
      <w:r>
        <w:rPr>
          <w:rFonts w:cstheme="minorHAnsi"/>
        </w:rPr>
        <w:t xml:space="preserve">Als de zwangere geen tweede poging wil dan wel dat er sprake blijft van een afwijkende ligging, vindt er verwijzing naar de tweedelijn plaats (indien zwangere niet al een tweedelijnsindicatie heeft). Consult gepland worden op PN4 om modus partus te bespreken en counseling met betrekking tot een vaginale baring dan wel een primaire sectio </w:t>
      </w:r>
      <w:r w:rsidR="001E3537">
        <w:rPr>
          <w:rFonts w:cstheme="minorHAnsi"/>
        </w:rPr>
        <w:t>caesarea</w:t>
      </w:r>
      <w:r>
        <w:rPr>
          <w:rFonts w:cstheme="minorHAnsi"/>
        </w:rPr>
        <w:t xml:space="preserve">. </w:t>
      </w:r>
    </w:p>
    <w:p w14:paraId="701C006C" w14:textId="77777777" w:rsidR="00B211E7" w:rsidRDefault="00B211E7" w:rsidP="00B211E7">
      <w:pPr>
        <w:pStyle w:val="Lijstalinea"/>
        <w:numPr>
          <w:ilvl w:val="0"/>
          <w:numId w:val="20"/>
        </w:numPr>
        <w:spacing w:line="240" w:lineRule="auto"/>
        <w:rPr>
          <w:rFonts w:cstheme="minorHAnsi"/>
        </w:rPr>
      </w:pPr>
      <w:r w:rsidRPr="00275C78">
        <w:rPr>
          <w:rFonts w:cstheme="minorHAnsi"/>
        </w:rPr>
        <w:t xml:space="preserve">Niet geslaagde versie op triagekamer, zal de zwangere op de hoogte worden gebracht indien geen tweede versie poging gewenst is over de volgende folder materiaal: </w:t>
      </w:r>
    </w:p>
    <w:p w14:paraId="7D493188" w14:textId="77777777" w:rsidR="00B211E7" w:rsidRDefault="00683798" w:rsidP="00B211E7">
      <w:pPr>
        <w:pStyle w:val="Lijstalinea"/>
        <w:spacing w:line="240" w:lineRule="auto"/>
        <w:rPr>
          <w:rFonts w:cstheme="minorHAnsi"/>
        </w:rPr>
      </w:pPr>
      <w:hyperlink r:id="rId11" w:history="1">
        <w:r w:rsidR="00B211E7" w:rsidRPr="00486855">
          <w:rPr>
            <w:rStyle w:val="Hyperlink"/>
          </w:rPr>
          <w:t>https://consultkaart.nl/wp-content/uploads/2017/12/FMS_ck_Stuitbevalling_2017.01.pdf</w:t>
        </w:r>
      </w:hyperlink>
      <w:r w:rsidR="00B211E7">
        <w:br/>
      </w:r>
      <w:hyperlink r:id="rId12" w:history="1">
        <w:r w:rsidR="00B211E7" w:rsidRPr="00486855">
          <w:rPr>
            <w:rStyle w:val="Hyperlink"/>
          </w:rPr>
          <w:t>https://www.degynaecoloog.nl/onderwerpen/hoe-wil-bevallen-kind-stuitligging/</w:t>
        </w:r>
      </w:hyperlink>
      <w:r w:rsidR="00B211E7">
        <w:t xml:space="preserve"> </w:t>
      </w:r>
    </w:p>
    <w:p w14:paraId="7BFE29CF" w14:textId="72250C57" w:rsidR="00B211E7" w:rsidRPr="00275C78" w:rsidRDefault="001E3537" w:rsidP="00B211E7">
      <w:pPr>
        <w:pStyle w:val="Lijstalinea"/>
        <w:numPr>
          <w:ilvl w:val="0"/>
          <w:numId w:val="20"/>
        </w:numPr>
        <w:spacing w:line="240" w:lineRule="auto"/>
        <w:rPr>
          <w:rFonts w:cstheme="minorHAnsi"/>
        </w:rPr>
      </w:pPr>
      <w:r>
        <w:rPr>
          <w:rFonts w:cstheme="minorHAnsi"/>
        </w:rPr>
        <w:t>Indien zwangere de zwangerschapsduur</w:t>
      </w:r>
      <w:r w:rsidR="00B211E7">
        <w:rPr>
          <w:rFonts w:cstheme="minorHAnsi"/>
        </w:rPr>
        <w:t xml:space="preserve"> </w:t>
      </w:r>
      <w:r>
        <w:rPr>
          <w:rFonts w:cstheme="minorHAnsi"/>
        </w:rPr>
        <w:t xml:space="preserve"> ≥</w:t>
      </w:r>
      <w:r w:rsidR="00B211E7" w:rsidRPr="00275C78">
        <w:rPr>
          <w:rFonts w:cstheme="minorHAnsi"/>
        </w:rPr>
        <w:t>37 weken, voorlopige modus partus bespreken na de uitwendige ver</w:t>
      </w:r>
      <w:r w:rsidR="00B211E7">
        <w:rPr>
          <w:rFonts w:cstheme="minorHAnsi"/>
        </w:rPr>
        <w:t>sie en dit vastleggen in het elektronische patiënten dossier (EPD)</w:t>
      </w:r>
      <w:r w:rsidR="00B211E7" w:rsidRPr="00275C78">
        <w:rPr>
          <w:rFonts w:cstheme="minorHAnsi"/>
        </w:rPr>
        <w:t xml:space="preserve">. </w:t>
      </w:r>
    </w:p>
    <w:p w14:paraId="6096F0B2" w14:textId="545AAE7E" w:rsidR="00B211E7" w:rsidRPr="000238D6" w:rsidRDefault="00B211E7" w:rsidP="00B211E7">
      <w:pPr>
        <w:pStyle w:val="Lijstalinea"/>
        <w:numPr>
          <w:ilvl w:val="0"/>
          <w:numId w:val="15"/>
        </w:numPr>
        <w:spacing w:line="240" w:lineRule="auto"/>
        <w:rPr>
          <w:rFonts w:cstheme="minorHAnsi"/>
        </w:rPr>
      </w:pPr>
      <w:r w:rsidRPr="000238D6">
        <w:rPr>
          <w:rFonts w:cstheme="minorHAnsi"/>
        </w:rPr>
        <w:t>Alle</w:t>
      </w:r>
      <w:r>
        <w:rPr>
          <w:rFonts w:cstheme="minorHAnsi"/>
        </w:rPr>
        <w:t xml:space="preserve"> pogingen van</w:t>
      </w:r>
      <w:r w:rsidRPr="000238D6">
        <w:rPr>
          <w:rFonts w:cstheme="minorHAnsi"/>
        </w:rPr>
        <w:t xml:space="preserve"> uitwendige versie</w:t>
      </w:r>
      <w:r>
        <w:rPr>
          <w:rFonts w:cstheme="minorHAnsi"/>
        </w:rPr>
        <w:t>s</w:t>
      </w:r>
      <w:r w:rsidRPr="000238D6">
        <w:rPr>
          <w:rFonts w:cstheme="minorHAnsi"/>
        </w:rPr>
        <w:t xml:space="preserve"> worden geregistreerd in het EPD</w:t>
      </w:r>
      <w:r>
        <w:rPr>
          <w:rFonts w:cstheme="minorHAnsi"/>
        </w:rPr>
        <w:t>.</w:t>
      </w:r>
      <w:r w:rsidRPr="000238D6">
        <w:rPr>
          <w:rFonts w:cstheme="minorHAnsi"/>
        </w:rPr>
        <w:t xml:space="preserve">  </w:t>
      </w:r>
    </w:p>
    <w:p w14:paraId="199CB84E" w14:textId="77777777" w:rsidR="00B211E7" w:rsidRPr="000238D6" w:rsidRDefault="00B211E7" w:rsidP="00B211E7">
      <w:pPr>
        <w:pStyle w:val="Lijstalinea"/>
        <w:numPr>
          <w:ilvl w:val="0"/>
          <w:numId w:val="16"/>
        </w:numPr>
        <w:spacing w:line="240" w:lineRule="auto"/>
        <w:rPr>
          <w:rFonts w:cstheme="minorHAnsi"/>
        </w:rPr>
      </w:pPr>
      <w:r>
        <w:rPr>
          <w:rFonts w:cstheme="minorHAnsi"/>
        </w:rPr>
        <w:t>Een zwangeren</w:t>
      </w:r>
      <w:r w:rsidRPr="000238D6">
        <w:rPr>
          <w:rFonts w:cstheme="minorHAnsi"/>
        </w:rPr>
        <w:t>kaart is of zal aangemaakt worden. Hierin een notitie versie poging.</w:t>
      </w:r>
    </w:p>
    <w:p w14:paraId="2C57416F" w14:textId="77777777" w:rsidR="00B211E7" w:rsidRPr="000238D6" w:rsidRDefault="00B211E7" w:rsidP="00B211E7">
      <w:pPr>
        <w:pStyle w:val="Lijstalinea"/>
        <w:numPr>
          <w:ilvl w:val="0"/>
          <w:numId w:val="16"/>
        </w:numPr>
        <w:spacing w:line="240" w:lineRule="auto"/>
        <w:rPr>
          <w:rFonts w:cstheme="minorHAnsi"/>
        </w:rPr>
      </w:pPr>
      <w:r w:rsidRPr="000238D6">
        <w:rPr>
          <w:rFonts w:cstheme="minorHAnsi"/>
        </w:rPr>
        <w:t xml:space="preserve">Registratie personenlijst EPD ‘uitwendige versie’  </w:t>
      </w:r>
    </w:p>
    <w:p w14:paraId="2A760289" w14:textId="77777777" w:rsidR="00B211E7" w:rsidRPr="000238D6" w:rsidRDefault="00B211E7" w:rsidP="00B211E7">
      <w:pPr>
        <w:pStyle w:val="Lijstalinea"/>
        <w:numPr>
          <w:ilvl w:val="0"/>
          <w:numId w:val="16"/>
        </w:numPr>
        <w:spacing w:line="240" w:lineRule="auto"/>
        <w:rPr>
          <w:rFonts w:cstheme="minorHAnsi"/>
        </w:rPr>
      </w:pPr>
      <w:r w:rsidRPr="000238D6">
        <w:rPr>
          <w:rFonts w:cstheme="minorHAnsi"/>
        </w:rPr>
        <w:t>Uitwendige versie registratie van de KNOV wordt verricht.</w:t>
      </w:r>
    </w:p>
    <w:p w14:paraId="0C4C18FD" w14:textId="03EFE7FF" w:rsidR="00B211E7" w:rsidRDefault="00B211E7" w:rsidP="00B211E7">
      <w:pPr>
        <w:spacing w:line="240" w:lineRule="auto"/>
        <w:rPr>
          <w:rFonts w:cstheme="minorHAnsi"/>
        </w:rPr>
      </w:pPr>
      <w:r>
        <w:rPr>
          <w:rFonts w:cstheme="minorHAnsi"/>
        </w:rPr>
        <w:t xml:space="preserve">De zwangere kan </w:t>
      </w:r>
      <w:r w:rsidRPr="00437A61">
        <w:rPr>
          <w:rFonts w:cstheme="minorHAnsi"/>
        </w:rPr>
        <w:t>naar h</w:t>
      </w:r>
      <w:r>
        <w:rPr>
          <w:rFonts w:cstheme="minorHAnsi"/>
        </w:rPr>
        <w:t>uis indien na versie normaal CTG</w:t>
      </w:r>
      <w:r w:rsidRPr="00437A61">
        <w:rPr>
          <w:rFonts w:cstheme="minorHAnsi"/>
        </w:rPr>
        <w:t xml:space="preserve"> en normale </w:t>
      </w:r>
      <w:r>
        <w:rPr>
          <w:rFonts w:cstheme="minorHAnsi"/>
        </w:rPr>
        <w:t xml:space="preserve">maternale </w:t>
      </w:r>
      <w:r w:rsidRPr="00437A61">
        <w:rPr>
          <w:rFonts w:cstheme="minorHAnsi"/>
        </w:rPr>
        <w:t xml:space="preserve">pols (&lt;100 sl/min) </w:t>
      </w:r>
      <w:r>
        <w:rPr>
          <w:rFonts w:cstheme="minorHAnsi"/>
        </w:rPr>
        <w:br/>
        <w:t>B</w:t>
      </w:r>
      <w:r w:rsidRPr="00437A61">
        <w:rPr>
          <w:rFonts w:cstheme="minorHAnsi"/>
        </w:rPr>
        <w:t xml:space="preserve">elinstruncties na </w:t>
      </w:r>
      <w:r>
        <w:rPr>
          <w:rFonts w:cstheme="minorHAnsi"/>
        </w:rPr>
        <w:t xml:space="preserve">de </w:t>
      </w:r>
      <w:r w:rsidRPr="00437A61">
        <w:rPr>
          <w:rFonts w:cstheme="minorHAnsi"/>
        </w:rPr>
        <w:t xml:space="preserve">versie ongeacht geslaagde of niet geslaagde versie zal door de versiekundige besproken worden. </w:t>
      </w:r>
    </w:p>
    <w:p w14:paraId="5E6765DE" w14:textId="77777777" w:rsidR="00B211E7" w:rsidRPr="00B211E7" w:rsidRDefault="00B211E7" w:rsidP="00B211E7">
      <w:pPr>
        <w:pStyle w:val="Geenafstand"/>
        <w:rPr>
          <w:b/>
        </w:rPr>
      </w:pPr>
      <w:r w:rsidRPr="00B211E7">
        <w:rPr>
          <w:b/>
        </w:rPr>
        <w:t xml:space="preserve">Belinstructies na versie: </w:t>
      </w:r>
    </w:p>
    <w:p w14:paraId="3FBBEC2F" w14:textId="77777777" w:rsidR="00B211E7" w:rsidRDefault="00B211E7" w:rsidP="00B211E7">
      <w:pPr>
        <w:pStyle w:val="Lijstalinea"/>
        <w:numPr>
          <w:ilvl w:val="0"/>
          <w:numId w:val="15"/>
        </w:numPr>
        <w:spacing w:after="200" w:line="276" w:lineRule="auto"/>
        <w:rPr>
          <w:rFonts w:ascii="Calibri" w:eastAsia="Calibri" w:hAnsi="Calibri" w:cs="Times New Roman"/>
        </w:rPr>
      </w:pPr>
      <w:r w:rsidRPr="00EA61E0">
        <w:rPr>
          <w:rFonts w:ascii="Calibri" w:eastAsia="Calibri" w:hAnsi="Calibri" w:cs="Times New Roman"/>
        </w:rPr>
        <w:t>vaginaal bloedverlie</w:t>
      </w:r>
      <w:r>
        <w:rPr>
          <w:rFonts w:ascii="Calibri" w:eastAsia="Calibri" w:hAnsi="Calibri" w:cs="Times New Roman"/>
        </w:rPr>
        <w:t>s en of vruchtwater verlies;</w:t>
      </w:r>
    </w:p>
    <w:p w14:paraId="2760AE8D" w14:textId="77777777" w:rsidR="00B211E7" w:rsidRDefault="00B211E7" w:rsidP="00B211E7">
      <w:pPr>
        <w:pStyle w:val="Lijstalinea"/>
        <w:numPr>
          <w:ilvl w:val="0"/>
          <w:numId w:val="15"/>
        </w:numPr>
        <w:spacing w:after="200" w:line="276" w:lineRule="auto"/>
        <w:rPr>
          <w:rFonts w:ascii="Calibri" w:eastAsia="Calibri" w:hAnsi="Calibri" w:cs="Times New Roman"/>
        </w:rPr>
      </w:pPr>
      <w:r>
        <w:rPr>
          <w:rFonts w:ascii="Calibri" w:eastAsia="Calibri" w:hAnsi="Calibri" w:cs="Times New Roman"/>
        </w:rPr>
        <w:t>harde buiken die niet afnemen;</w:t>
      </w:r>
    </w:p>
    <w:p w14:paraId="43152B24" w14:textId="77777777" w:rsidR="00B211E7" w:rsidRDefault="00B211E7" w:rsidP="00B211E7">
      <w:pPr>
        <w:pStyle w:val="Lijstalinea"/>
        <w:numPr>
          <w:ilvl w:val="0"/>
          <w:numId w:val="15"/>
        </w:numPr>
        <w:spacing w:after="200" w:line="276" w:lineRule="auto"/>
        <w:rPr>
          <w:rFonts w:ascii="Calibri" w:eastAsia="Calibri" w:hAnsi="Calibri" w:cs="Times New Roman"/>
        </w:rPr>
      </w:pPr>
      <w:r>
        <w:rPr>
          <w:rFonts w:ascii="Calibri" w:eastAsia="Calibri" w:hAnsi="Calibri" w:cs="Times New Roman"/>
        </w:rPr>
        <w:t>m</w:t>
      </w:r>
      <w:r w:rsidRPr="00EA61E0">
        <w:rPr>
          <w:rFonts w:ascii="Calibri" w:eastAsia="Calibri" w:hAnsi="Calibri" w:cs="Times New Roman"/>
        </w:rPr>
        <w:t xml:space="preserve">inder of </w:t>
      </w:r>
      <w:r>
        <w:rPr>
          <w:rFonts w:ascii="Calibri" w:eastAsia="Calibri" w:hAnsi="Calibri" w:cs="Times New Roman"/>
        </w:rPr>
        <w:t>geen leven voelen;</w:t>
      </w:r>
    </w:p>
    <w:p w14:paraId="1E24EEB4" w14:textId="77777777" w:rsidR="00B211E7" w:rsidRPr="00EA61E0" w:rsidRDefault="00B211E7" w:rsidP="00B211E7">
      <w:pPr>
        <w:pStyle w:val="Lijstalinea"/>
        <w:numPr>
          <w:ilvl w:val="0"/>
          <w:numId w:val="15"/>
        </w:numPr>
        <w:spacing w:after="200" w:line="276" w:lineRule="auto"/>
        <w:rPr>
          <w:rFonts w:ascii="Calibri" w:eastAsia="Calibri" w:hAnsi="Calibri" w:cs="Times New Roman"/>
        </w:rPr>
      </w:pPr>
      <w:r>
        <w:rPr>
          <w:rFonts w:ascii="Calibri" w:eastAsia="Calibri" w:hAnsi="Calibri" w:cs="Times New Roman"/>
        </w:rPr>
        <w:t>weeën.</w:t>
      </w:r>
    </w:p>
    <w:p w14:paraId="09E63514" w14:textId="77777777" w:rsidR="00B211E7" w:rsidRPr="00B211E7" w:rsidRDefault="00B211E7" w:rsidP="00B211E7">
      <w:pPr>
        <w:pStyle w:val="Geenafstand"/>
        <w:rPr>
          <w:b/>
        </w:rPr>
      </w:pPr>
      <w:r w:rsidRPr="00B211E7">
        <w:rPr>
          <w:b/>
        </w:rPr>
        <w:t xml:space="preserve">Advies na versie: </w:t>
      </w:r>
    </w:p>
    <w:p w14:paraId="09BC569D" w14:textId="77777777" w:rsidR="00B211E7" w:rsidRDefault="00B211E7" w:rsidP="00B211E7">
      <w:pPr>
        <w:pStyle w:val="Geenafstand"/>
        <w:numPr>
          <w:ilvl w:val="0"/>
          <w:numId w:val="34"/>
        </w:numPr>
        <w:rPr>
          <w:u w:val="single"/>
        </w:rPr>
      </w:pPr>
      <w:r>
        <w:t>beurs gevoel 24-48 uur;</w:t>
      </w:r>
    </w:p>
    <w:p w14:paraId="19537B36" w14:textId="075096F7" w:rsidR="00B211E7" w:rsidRDefault="00B211E7" w:rsidP="00B211E7">
      <w:pPr>
        <w:pStyle w:val="Geenafstand"/>
        <w:numPr>
          <w:ilvl w:val="0"/>
          <w:numId w:val="34"/>
        </w:numPr>
        <w:rPr>
          <w:u w:val="single"/>
        </w:rPr>
      </w:pPr>
      <w:r>
        <w:t>rustig aan doen de dag van de versie;</w:t>
      </w:r>
    </w:p>
    <w:p w14:paraId="32AA869B" w14:textId="77777777" w:rsidR="00B211E7" w:rsidRDefault="00B211E7" w:rsidP="00B211E7">
      <w:pPr>
        <w:pStyle w:val="Geenafstand"/>
        <w:numPr>
          <w:ilvl w:val="0"/>
          <w:numId w:val="34"/>
        </w:numPr>
        <w:rPr>
          <w:u w:val="single"/>
        </w:rPr>
      </w:pPr>
      <w:r>
        <w:t>warmte;</w:t>
      </w:r>
    </w:p>
    <w:p w14:paraId="52FAC6CB" w14:textId="77777777" w:rsidR="00B211E7" w:rsidRDefault="00B211E7" w:rsidP="00B211E7">
      <w:pPr>
        <w:pStyle w:val="Geenafstand"/>
        <w:numPr>
          <w:ilvl w:val="0"/>
          <w:numId w:val="34"/>
        </w:numPr>
        <w:rPr>
          <w:u w:val="single"/>
        </w:rPr>
      </w:pPr>
      <w:r>
        <w:t>regelmatig de blaas legen;</w:t>
      </w:r>
    </w:p>
    <w:p w14:paraId="79A93575" w14:textId="7B893FC7" w:rsidR="00B211E7" w:rsidRPr="00172610" w:rsidRDefault="00B211E7" w:rsidP="00B211E7">
      <w:pPr>
        <w:pStyle w:val="Geenafstand"/>
        <w:numPr>
          <w:ilvl w:val="0"/>
          <w:numId w:val="34"/>
        </w:numPr>
        <w:rPr>
          <w:u w:val="single"/>
        </w:rPr>
      </w:pPr>
      <w:r>
        <w:t>i</w:t>
      </w:r>
      <w:r w:rsidRPr="00EA61E0">
        <w:t xml:space="preserve">ndien versie gelukt regelmatig kleermakerszit. </w:t>
      </w:r>
    </w:p>
    <w:p w14:paraId="6B74AFEE" w14:textId="77777777" w:rsidR="00B211E7" w:rsidRPr="00172610" w:rsidRDefault="00B211E7" w:rsidP="00B211E7">
      <w:pPr>
        <w:pStyle w:val="Geenafstand"/>
        <w:ind w:left="360"/>
        <w:rPr>
          <w:u w:val="single"/>
        </w:rPr>
      </w:pPr>
    </w:p>
    <w:p w14:paraId="768E22FC" w14:textId="30C923EB" w:rsidR="00B211E7" w:rsidRDefault="001E3537" w:rsidP="00B211E7">
      <w:pPr>
        <w:pStyle w:val="Geenafstand"/>
        <w:rPr>
          <w:rFonts w:cstheme="minorHAnsi"/>
        </w:rPr>
      </w:pPr>
      <w:r>
        <w:t>NB : Alle vrouwen die een</w:t>
      </w:r>
      <w:r w:rsidR="00B211E7" w:rsidRPr="00EA61E0">
        <w:t xml:space="preserve"> versie</w:t>
      </w:r>
      <w:r>
        <w:t xml:space="preserve"> ondergaan hebben, moet met klem geadviseerd worden</w:t>
      </w:r>
      <w:r w:rsidR="00B211E7" w:rsidRPr="00EA61E0">
        <w:t xml:space="preserve"> een afspraak</w:t>
      </w:r>
      <w:r>
        <w:t xml:space="preserve"> te</w:t>
      </w:r>
      <w:r w:rsidR="00B211E7" w:rsidRPr="00EA61E0">
        <w:t xml:space="preserve"> maken voor</w:t>
      </w:r>
      <w:r>
        <w:t xml:space="preserve"> een echo heupen van hun kind drie maanden</w:t>
      </w:r>
      <w:r w:rsidR="00B211E7" w:rsidRPr="00EA61E0">
        <w:t xml:space="preserve"> p</w:t>
      </w:r>
      <w:r w:rsidR="0031396B">
        <w:t>ost</w:t>
      </w:r>
      <w:r>
        <w:t>nataal</w:t>
      </w:r>
      <w:r w:rsidR="00B211E7">
        <w:t xml:space="preserve"> in verband met een</w:t>
      </w:r>
      <w:r w:rsidR="00B211E7" w:rsidRPr="00EA61E0">
        <w:t xml:space="preserve"> verhoogde kans op heupdysplasie (via consultatiebureau of kinderarts)</w:t>
      </w:r>
      <w:r w:rsidR="00B211E7">
        <w:t>.</w:t>
      </w:r>
      <w:r w:rsidR="00B211E7" w:rsidRPr="00EA61E0">
        <w:t xml:space="preserve"> </w:t>
      </w:r>
    </w:p>
    <w:p w14:paraId="7C071E85" w14:textId="77777777" w:rsidR="00B211E7" w:rsidRPr="00B211E7" w:rsidRDefault="00B211E7" w:rsidP="00B211E7">
      <w:pPr>
        <w:rPr>
          <w:b/>
          <w:bCs/>
          <w:u w:val="single"/>
        </w:rPr>
      </w:pPr>
    </w:p>
    <w:p w14:paraId="6963FAD9" w14:textId="65F479AE" w:rsidR="00BA627A" w:rsidRPr="00055748" w:rsidRDefault="00055748" w:rsidP="00B211E7">
      <w:pPr>
        <w:rPr>
          <w:b/>
        </w:rPr>
      </w:pPr>
      <w:r>
        <w:rPr>
          <w:b/>
        </w:rPr>
        <w:br w:type="page"/>
      </w:r>
      <w:r>
        <w:rPr>
          <w:b/>
        </w:rPr>
        <w:lastRenderedPageBreak/>
        <w:t>Achtergrond</w:t>
      </w:r>
    </w:p>
    <w:p w14:paraId="3CA02701" w14:textId="5C57765F" w:rsidR="00621B55" w:rsidRPr="004D258A" w:rsidRDefault="00BA627A" w:rsidP="00083C27">
      <w:pPr>
        <w:spacing w:line="240" w:lineRule="auto"/>
      </w:pPr>
      <w:r w:rsidRPr="00FE5882">
        <w:t>Uitwendige</w:t>
      </w:r>
      <w:r w:rsidR="00055748">
        <w:t xml:space="preserve"> versie vanaf amenorroe</w:t>
      </w:r>
      <w:r w:rsidRPr="00FE5882">
        <w:t xml:space="preserve"> 36 weken is effectief gebleken</w:t>
      </w:r>
      <w:r w:rsidR="008672FC" w:rsidRPr="00FE5882">
        <w:t xml:space="preserve"> om het aantal kinderen dat zich bij de bevalling niet in hoofdligging </w:t>
      </w:r>
      <w:r w:rsidR="000A2B6A" w:rsidRPr="00FE5882">
        <w:t>presenteert</w:t>
      </w:r>
      <w:r w:rsidR="008672FC" w:rsidRPr="00FE5882">
        <w:t xml:space="preserve"> te verminderen</w:t>
      </w:r>
      <w:r w:rsidR="000A2B6A" w:rsidRPr="00FE5882">
        <w:t xml:space="preserve"> (gepo</w:t>
      </w:r>
      <w:r w:rsidR="00350C9F">
        <w:t>o</w:t>
      </w:r>
      <w:r w:rsidR="000A2B6A" w:rsidRPr="00FE5882">
        <w:t>lde RR 0.42</w:t>
      </w:r>
      <w:r w:rsidR="008124E0" w:rsidRPr="00FE5882">
        <w:t>, 95% BI 0.29 tot 0.61) en het vermindert het percentage sectio’s (</w:t>
      </w:r>
      <w:r w:rsidR="00894122" w:rsidRPr="00FE5882">
        <w:t>gepo</w:t>
      </w:r>
      <w:r w:rsidR="00350C9F">
        <w:t>o</w:t>
      </w:r>
      <w:r w:rsidR="00894122" w:rsidRPr="00FE5882">
        <w:t>lde RR</w:t>
      </w:r>
      <w:r w:rsidR="00055748">
        <w:t xml:space="preserve"> </w:t>
      </w:r>
      <w:r w:rsidR="00894122" w:rsidRPr="00FE5882">
        <w:t>0.57, 95%</w:t>
      </w:r>
      <w:r w:rsidR="00083C27" w:rsidRPr="00FE5882">
        <w:t xml:space="preserve"> BI 0.40 tot 0.8)</w:t>
      </w:r>
      <w:r w:rsidR="00B7626B" w:rsidRPr="00FE5882">
        <w:t xml:space="preserve">. </w:t>
      </w:r>
    </w:p>
    <w:p w14:paraId="4219F334" w14:textId="77777777" w:rsidR="00055748" w:rsidRPr="00055748" w:rsidRDefault="00521415" w:rsidP="00055748">
      <w:pPr>
        <w:pStyle w:val="Geenafstand"/>
        <w:rPr>
          <w:b/>
        </w:rPr>
      </w:pPr>
      <w:r w:rsidRPr="00055748">
        <w:rPr>
          <w:b/>
        </w:rPr>
        <w:t>Ve</w:t>
      </w:r>
      <w:r w:rsidR="005830E9" w:rsidRPr="00055748">
        <w:rPr>
          <w:b/>
        </w:rPr>
        <w:t>r</w:t>
      </w:r>
      <w:r w:rsidRPr="00055748">
        <w:rPr>
          <w:b/>
        </w:rPr>
        <w:t>beter</w:t>
      </w:r>
      <w:r w:rsidR="00AC0E49" w:rsidRPr="00055748">
        <w:rPr>
          <w:b/>
        </w:rPr>
        <w:t>en</w:t>
      </w:r>
      <w:r w:rsidR="00E35AE1" w:rsidRPr="00055748">
        <w:rPr>
          <w:b/>
        </w:rPr>
        <w:t xml:space="preserve"> van uitkomst</w:t>
      </w:r>
    </w:p>
    <w:p w14:paraId="722A524D" w14:textId="204B4BF0" w:rsidR="00015B53" w:rsidRDefault="00055748" w:rsidP="00083C27">
      <w:pPr>
        <w:spacing w:line="240" w:lineRule="auto"/>
        <w:rPr>
          <w:b/>
          <w:bCs/>
        </w:rPr>
      </w:pPr>
      <w:r>
        <w:rPr>
          <w:b/>
          <w:bCs/>
        </w:rPr>
        <w:br/>
        <w:t>Timing</w:t>
      </w:r>
      <w:r w:rsidR="005830E9">
        <w:rPr>
          <w:b/>
          <w:bCs/>
        </w:rPr>
        <w:t xml:space="preserve"> </w:t>
      </w:r>
      <w:r w:rsidR="005830E9">
        <w:rPr>
          <w:b/>
          <w:bCs/>
        </w:rPr>
        <w:br/>
      </w:r>
      <w:r w:rsidR="005830E9" w:rsidRPr="00015B53">
        <w:t>De lande</w:t>
      </w:r>
      <w:r w:rsidR="006A0E07" w:rsidRPr="00015B53">
        <w:t>lijke richtlijn adviseert een versie na</w:t>
      </w:r>
      <w:r w:rsidR="00227AE4">
        <w:t xml:space="preserve"> AD</w:t>
      </w:r>
      <w:r w:rsidR="006A0E07" w:rsidRPr="00015B53">
        <w:t xml:space="preserve"> 36 weken. Een vroegere versie kan mogelijk leiden tot een hogere slagingskans. In 2010 is een trial gepubliceerd die ‘’</w:t>
      </w:r>
      <w:r w:rsidR="00F618E1" w:rsidRPr="00015B53">
        <w:t>vroeg uitwendige versie’’ (AD 34-36 weken) vergeleek met ‘’</w:t>
      </w:r>
      <w:r w:rsidR="00D14F7F" w:rsidRPr="00015B53">
        <w:t xml:space="preserve">late uitwendige versie’’ (AD &gt;37 weken). Ondanks dat deze studie liet zien dat er minder </w:t>
      </w:r>
      <w:r w:rsidR="00D14F7F" w:rsidRPr="00055748">
        <w:t xml:space="preserve">kinderen niet </w:t>
      </w:r>
      <w:r w:rsidR="00D14F7F" w:rsidRPr="00015B53">
        <w:t>in hoofdligging lagen bij de geboorte in de ‘’vroege uitwendige versie’’</w:t>
      </w:r>
      <w:r w:rsidR="00935A32" w:rsidRPr="00015B53">
        <w:t xml:space="preserve"> </w:t>
      </w:r>
      <w:r w:rsidR="00D14F7F" w:rsidRPr="00015B53">
        <w:t>groep</w:t>
      </w:r>
      <w:r w:rsidR="00935A32" w:rsidRPr="00015B53">
        <w:t xml:space="preserve">, waren er geen verschillen in </w:t>
      </w:r>
      <w:r w:rsidR="00227AE4">
        <w:t>de</w:t>
      </w:r>
      <w:r w:rsidR="00935A32" w:rsidRPr="00015B53">
        <w:t xml:space="preserve"> routinematige</w:t>
      </w:r>
      <w:r w:rsidR="00227AE4">
        <w:t xml:space="preserve"> groep</w:t>
      </w:r>
      <w:r w:rsidR="00935A32" w:rsidRPr="00015B53">
        <w:t xml:space="preserve"> ‘’vroege uitwendige versie’</w:t>
      </w:r>
      <w:r w:rsidR="00227AE4">
        <w:t>’</w:t>
      </w:r>
      <w:r w:rsidR="00935A32" w:rsidRPr="00015B53">
        <w:t>. Gezien de trend in een verhoogd percentage premature partus lijkt een versie voor</w:t>
      </w:r>
      <w:r w:rsidR="00227AE4">
        <w:t xml:space="preserve"> AD</w:t>
      </w:r>
      <w:r w:rsidR="00935A32" w:rsidRPr="00015B53">
        <w:t xml:space="preserve"> 36 </w:t>
      </w:r>
      <w:r w:rsidR="00AD0A57" w:rsidRPr="00015B53">
        <w:t>niet wenselijk</w:t>
      </w:r>
      <w:r w:rsidR="00621B55">
        <w:t>.</w:t>
      </w:r>
      <w:r w:rsidR="00015B53" w:rsidRPr="00015B53">
        <w:rPr>
          <w:color w:val="FF0000"/>
        </w:rPr>
        <w:br/>
      </w:r>
      <w:r w:rsidR="00015B53" w:rsidRPr="00015B53">
        <w:t>Indien planning technisch niet haalbaar dan voorkeur naar dicht rond</w:t>
      </w:r>
      <w:r>
        <w:t xml:space="preserve"> AD</w:t>
      </w:r>
      <w:r w:rsidR="00015B53" w:rsidRPr="00015B53">
        <w:t xml:space="preserve"> 36+0</w:t>
      </w:r>
      <w:r>
        <w:t xml:space="preserve"> weken</w:t>
      </w:r>
      <w:r w:rsidR="00015B53" w:rsidRPr="00015B53">
        <w:t>.</w:t>
      </w:r>
    </w:p>
    <w:p w14:paraId="212CE413" w14:textId="1E4A50E0" w:rsidR="00D22471" w:rsidRDefault="00055748" w:rsidP="00083C27">
      <w:pPr>
        <w:spacing w:line="240" w:lineRule="auto"/>
        <w:rPr>
          <w:rFonts w:cstheme="minorHAnsi"/>
          <w:b/>
          <w:bCs/>
          <w:color w:val="FF0000"/>
        </w:rPr>
      </w:pPr>
      <w:r>
        <w:rPr>
          <w:b/>
          <w:bCs/>
        </w:rPr>
        <w:t>Pijnstilling</w:t>
      </w:r>
      <w:r w:rsidR="00ED1FE2">
        <w:rPr>
          <w:b/>
          <w:bCs/>
        </w:rPr>
        <w:br/>
      </w:r>
      <w:r w:rsidR="00ED1FE2" w:rsidRPr="00415075">
        <w:t>Pijnstilling wordt op dit moment niet aangeboden. Een recent gepubliceerde systematische review (</w:t>
      </w:r>
      <w:r w:rsidR="004C3188" w:rsidRPr="00415075">
        <w:t xml:space="preserve">2016) concludeert dat epidurale analgesie het succes percentage van de uitwendige </w:t>
      </w:r>
      <w:r w:rsidR="00415075" w:rsidRPr="00415075">
        <w:t>versie</w:t>
      </w:r>
      <w:r w:rsidR="004C3188" w:rsidRPr="00415075">
        <w:t xml:space="preserve"> verhoogt van 43.1% naar 58.4% </w:t>
      </w:r>
      <w:r w:rsidR="00D22471" w:rsidRPr="00415075">
        <w:t>(gepo</w:t>
      </w:r>
      <w:r w:rsidR="00227AE4">
        <w:t>o</w:t>
      </w:r>
      <w:r w:rsidR="00D22471" w:rsidRPr="00415075">
        <w:t>lde RR 1.44 95% BI,1.27 tot 1.64).</w:t>
      </w:r>
      <w:r w:rsidR="00D22471" w:rsidRPr="00415075">
        <w:br/>
      </w:r>
      <w:r w:rsidR="00236F18" w:rsidRPr="00415075">
        <w:t>De kans op hoofdligging durante partu was verho</w:t>
      </w:r>
      <w:r w:rsidR="00EA61E0">
        <w:t xml:space="preserve">ogd van 40.2% naar </w:t>
      </w:r>
      <w:r>
        <w:t>55.1%. (gepo</w:t>
      </w:r>
      <w:r w:rsidR="00350C9F">
        <w:t>o</w:t>
      </w:r>
      <w:r w:rsidR="00236F18" w:rsidRPr="00415075">
        <w:t>lde RR 1.37</w:t>
      </w:r>
      <w:r w:rsidR="00DE1C77" w:rsidRPr="00415075">
        <w:t>,95% BI 1.08 tot 1.73). de kans op een sectio was vermin</w:t>
      </w:r>
      <w:r w:rsidR="00EA61E0">
        <w:t>derd van 55.3% naar 46.0% (gepoo</w:t>
      </w:r>
      <w:r w:rsidR="00D2598E" w:rsidRPr="00415075">
        <w:t>l</w:t>
      </w:r>
      <w:r w:rsidR="00DE1C77" w:rsidRPr="00415075">
        <w:t xml:space="preserve">de RR 0.83,95% BI, 0.71 tot 0.97). </w:t>
      </w:r>
      <w:r w:rsidR="00DE1C77" w:rsidRPr="00415075">
        <w:rPr>
          <w:color w:val="FF0000"/>
        </w:rPr>
        <w:t xml:space="preserve"> </w:t>
      </w:r>
      <w:r w:rsidR="00930B60" w:rsidRPr="00415075">
        <w:t>Een rec</w:t>
      </w:r>
      <w:r w:rsidR="00415075" w:rsidRPr="00415075">
        <w:t>e</w:t>
      </w:r>
      <w:r w:rsidR="00930B60" w:rsidRPr="00415075">
        <w:t>nte gepubliceerde RCT laat zien dat remifentanyl geen toegevoeg</w:t>
      </w:r>
      <w:r w:rsidR="00415075" w:rsidRPr="00415075">
        <w:t>d</w:t>
      </w:r>
      <w:r w:rsidR="00930B60" w:rsidRPr="00415075">
        <w:t>e waarde heeft ten opzichte van het slagen van de uitwendige versie</w:t>
      </w:r>
      <w:r w:rsidR="00140DC4" w:rsidRPr="00415075">
        <w:t xml:space="preserve"> (rond 50% in beide groepen). Ondanks dit gegeven, is de tevredenheid van deelnemers hoger bij deelnemers die remifentanyl kregen en de pijnscore lager. 3.2</w:t>
      </w:r>
      <w:r w:rsidR="00CF73EA" w:rsidRPr="00415075">
        <w:t xml:space="preserve"> </w:t>
      </w:r>
      <w:r w:rsidR="00441077" w:rsidRPr="00415075">
        <w:rPr>
          <w:rFonts w:cstheme="minorHAnsi"/>
        </w:rPr>
        <w:t>±</w:t>
      </w:r>
      <w:r w:rsidR="00CF73EA" w:rsidRPr="00415075">
        <w:rPr>
          <w:rFonts w:cstheme="minorHAnsi"/>
        </w:rPr>
        <w:t xml:space="preserve"> </w:t>
      </w:r>
      <w:r w:rsidR="00441077" w:rsidRPr="00415075">
        <w:t xml:space="preserve">2.4 vs 6.0 </w:t>
      </w:r>
      <w:r w:rsidR="00EA61E0">
        <w:rPr>
          <w:rFonts w:cstheme="minorHAnsi"/>
        </w:rPr>
        <w:t>± 2.3; P &lt; 0.01.)</w:t>
      </w:r>
      <w:r w:rsidR="00D2598E" w:rsidRPr="00D2598E">
        <w:rPr>
          <w:rFonts w:cstheme="minorHAnsi"/>
          <w:b/>
          <w:bCs/>
          <w:color w:val="FF0000"/>
        </w:rPr>
        <w:t xml:space="preserve"> </w:t>
      </w:r>
    </w:p>
    <w:p w14:paraId="2D98DF82" w14:textId="2D7E03CD" w:rsidR="00A36642" w:rsidRDefault="00055748" w:rsidP="00083C27">
      <w:pPr>
        <w:spacing w:line="240" w:lineRule="auto"/>
        <w:rPr>
          <w:rFonts w:cstheme="minorHAnsi"/>
          <w:b/>
          <w:bCs/>
        </w:rPr>
      </w:pPr>
      <w:r>
        <w:rPr>
          <w:rFonts w:cstheme="minorHAnsi"/>
          <w:b/>
          <w:bCs/>
        </w:rPr>
        <w:t>Uterus relaxantia</w:t>
      </w:r>
      <w:r w:rsidR="00AB3A69">
        <w:rPr>
          <w:rFonts w:cstheme="minorHAnsi"/>
          <w:b/>
          <w:bCs/>
        </w:rPr>
        <w:br/>
      </w:r>
      <w:r w:rsidR="00AB3A69" w:rsidRPr="00A36642">
        <w:rPr>
          <w:rFonts w:cstheme="minorHAnsi"/>
        </w:rPr>
        <w:t>Medicamenteuze uterusrelaxatie kan het succespercentage van een uitwendige versie verhogen. Een nog niet gepubliceerde netwerk-meta analyse laat zien dat een beta-mimeticum</w:t>
      </w:r>
      <w:r w:rsidR="00D720AC" w:rsidRPr="00A36642">
        <w:rPr>
          <w:rFonts w:cstheme="minorHAnsi"/>
        </w:rPr>
        <w:t xml:space="preserve"> superieur is aan andere uterus relaxantia. Op grond van bovengenoemde data zal de uitwendige versie </w:t>
      </w:r>
      <w:r w:rsidR="001A508E" w:rsidRPr="00A36642">
        <w:rPr>
          <w:rFonts w:cstheme="minorHAnsi"/>
        </w:rPr>
        <w:t>standaard worden aang</w:t>
      </w:r>
      <w:r w:rsidR="00350C9F">
        <w:rPr>
          <w:rFonts w:cstheme="minorHAnsi"/>
        </w:rPr>
        <w:t>eboden met een beta-mimeticum (f</w:t>
      </w:r>
      <w:r w:rsidR="001A508E" w:rsidRPr="00A36642">
        <w:rPr>
          <w:rFonts w:cstheme="minorHAnsi"/>
        </w:rPr>
        <w:t>enoterol/</w:t>
      </w:r>
      <w:r w:rsidR="00350C9F">
        <w:rPr>
          <w:rFonts w:cstheme="minorHAnsi"/>
        </w:rPr>
        <w:t>r</w:t>
      </w:r>
      <w:r w:rsidR="001A508E" w:rsidRPr="00A36642">
        <w:rPr>
          <w:rFonts w:cstheme="minorHAnsi"/>
        </w:rPr>
        <w:t xml:space="preserve">itodrine). </w:t>
      </w:r>
      <w:r w:rsidR="000E016D" w:rsidRPr="00A36642">
        <w:rPr>
          <w:rFonts w:cstheme="minorHAnsi"/>
        </w:rPr>
        <w:t>Helaas geeft een beta-mimeticum bijwerkingen. In een recent gepubliceerde trial</w:t>
      </w:r>
      <w:r w:rsidR="000E016D" w:rsidRPr="00A36642">
        <w:rPr>
          <w:rFonts w:cstheme="minorHAnsi"/>
          <w:color w:val="FF0000"/>
        </w:rPr>
        <w:t xml:space="preserve"> </w:t>
      </w:r>
      <w:r w:rsidR="00227AE4">
        <w:rPr>
          <w:rFonts w:cstheme="minorHAnsi"/>
        </w:rPr>
        <w:t>w</w:t>
      </w:r>
      <w:r w:rsidR="000E016D" w:rsidRPr="00A36642">
        <w:rPr>
          <w:rFonts w:cstheme="minorHAnsi"/>
        </w:rPr>
        <w:t>aarin fenterol werd vergeleken met atosiban blij</w:t>
      </w:r>
      <w:r w:rsidR="00AE3543" w:rsidRPr="00A36642">
        <w:rPr>
          <w:rFonts w:cstheme="minorHAnsi"/>
        </w:rPr>
        <w:t>kt 75.7% minimaal één type bijwerking te ervaren, 70.6%</w:t>
      </w:r>
      <w:r w:rsidR="00A36642" w:rsidRPr="00A36642">
        <w:rPr>
          <w:rFonts w:cstheme="minorHAnsi"/>
        </w:rPr>
        <w:t xml:space="preserve"> van de deelnemers had palpitaties. Bij </w:t>
      </w:r>
      <w:r w:rsidR="00227AE4">
        <w:rPr>
          <w:rFonts w:cstheme="minorHAnsi"/>
        </w:rPr>
        <w:t>één</w:t>
      </w:r>
      <w:r w:rsidR="00A36642" w:rsidRPr="00A36642">
        <w:rPr>
          <w:rFonts w:cstheme="minorHAnsi"/>
        </w:rPr>
        <w:t xml:space="preserve"> deelnemer trad een forse hypotensie op (0.2%) die behandeld moest worden</w:t>
      </w:r>
      <w:r w:rsidR="00A36642" w:rsidRPr="001F4036">
        <w:rPr>
          <w:rFonts w:cstheme="minorHAnsi"/>
        </w:rPr>
        <w:t xml:space="preserve">. </w:t>
      </w:r>
      <w:r w:rsidR="00B465B5" w:rsidRPr="001F4036">
        <w:rPr>
          <w:rFonts w:cstheme="minorHAnsi"/>
        </w:rPr>
        <w:t>Bij</w:t>
      </w:r>
      <w:r w:rsidR="00B465B5">
        <w:rPr>
          <w:rFonts w:cstheme="minorHAnsi"/>
          <w:b/>
          <w:bCs/>
        </w:rPr>
        <w:t xml:space="preserve"> </w:t>
      </w:r>
      <w:r w:rsidR="00350C9F">
        <w:rPr>
          <w:rFonts w:cstheme="minorHAnsi"/>
        </w:rPr>
        <w:t>het verstrekken van beta</w:t>
      </w:r>
      <w:r w:rsidR="00B465B5" w:rsidRPr="001F4036">
        <w:rPr>
          <w:rFonts w:cstheme="minorHAnsi"/>
        </w:rPr>
        <w:t>-mimeticum moet daarom ook aandacht zijn voor mogelijke bijwerkingen. He</w:t>
      </w:r>
      <w:r w:rsidR="00227AE4">
        <w:rPr>
          <w:rFonts w:cstheme="minorHAnsi"/>
        </w:rPr>
        <w:t>t</w:t>
      </w:r>
      <w:r w:rsidR="00B465B5" w:rsidRPr="001F4036">
        <w:rPr>
          <w:rFonts w:cstheme="minorHAnsi"/>
        </w:rPr>
        <w:t xml:space="preserve"> is van belang om de patiënte vooraf goed te informeren over het voorbijgaande karakter van de bijwerkingen.</w:t>
      </w:r>
      <w:r w:rsidR="00B465B5">
        <w:rPr>
          <w:rFonts w:cstheme="minorHAnsi"/>
          <w:b/>
          <w:bCs/>
        </w:rPr>
        <w:t xml:space="preserve"> </w:t>
      </w:r>
    </w:p>
    <w:p w14:paraId="0D0F47CD" w14:textId="7131366E" w:rsidR="000D1E97" w:rsidRDefault="00FE5882" w:rsidP="00437A61">
      <w:pPr>
        <w:spacing w:line="240" w:lineRule="auto"/>
        <w:rPr>
          <w:rFonts w:cstheme="minorHAnsi"/>
        </w:rPr>
      </w:pPr>
      <w:r>
        <w:rPr>
          <w:rFonts w:cstheme="minorHAnsi"/>
          <w:b/>
          <w:bCs/>
        </w:rPr>
        <w:br/>
      </w:r>
    </w:p>
    <w:p w14:paraId="4C111730" w14:textId="7F2106C3" w:rsidR="00275C78" w:rsidRPr="00172610" w:rsidRDefault="00034C56" w:rsidP="00275C78">
      <w:pPr>
        <w:spacing w:line="240" w:lineRule="auto"/>
        <w:rPr>
          <w:rFonts w:cstheme="minorHAnsi"/>
        </w:rPr>
      </w:pPr>
      <w:r w:rsidRPr="00404172">
        <w:rPr>
          <w:rFonts w:cstheme="minorHAnsi"/>
          <w:b/>
          <w:bCs/>
        </w:rPr>
        <w:t xml:space="preserve">Auteurs </w:t>
      </w:r>
      <w:r w:rsidR="000D1E97">
        <w:rPr>
          <w:rFonts w:cstheme="minorHAnsi"/>
        </w:rPr>
        <w:t xml:space="preserve"> Dr. M.J. Pelinck</w:t>
      </w:r>
      <w:r w:rsidR="000D1E97">
        <w:rPr>
          <w:rFonts w:cstheme="minorHAnsi"/>
        </w:rPr>
        <w:br/>
        <w:t xml:space="preserve">                         R. Elberink </w:t>
      </w:r>
      <w:r w:rsidR="000D1E97">
        <w:rPr>
          <w:rFonts w:cstheme="minorHAnsi"/>
        </w:rPr>
        <w:br/>
        <w:t xml:space="preserve">                         Z.M. Riksen</w:t>
      </w:r>
      <w:r w:rsidR="000D1E97">
        <w:rPr>
          <w:rFonts w:cstheme="minorHAnsi"/>
        </w:rPr>
        <w:br/>
        <w:t xml:space="preserve">                         M. Kalafusova</w:t>
      </w:r>
      <w:r w:rsidR="000D1E97">
        <w:rPr>
          <w:rFonts w:cstheme="minorHAnsi"/>
        </w:rPr>
        <w:br/>
        <w:t xml:space="preserve">                          I. van der Veen </w:t>
      </w:r>
      <w:r w:rsidR="000D1E97">
        <w:rPr>
          <w:rFonts w:cstheme="minorHAnsi"/>
        </w:rPr>
        <w:br/>
        <w:t xml:space="preserve">                          J.C Kleijn-Schep </w:t>
      </w:r>
      <w:r w:rsidR="000D1E97">
        <w:rPr>
          <w:rFonts w:cstheme="minorHAnsi"/>
        </w:rPr>
        <w:br/>
        <w:t xml:space="preserve">                          H.C. Janssens-de Jong</w:t>
      </w:r>
      <w:r w:rsidR="000D1E97">
        <w:rPr>
          <w:rFonts w:cstheme="minorHAnsi"/>
        </w:rPr>
        <w:br/>
        <w:t xml:space="preserve">                          Y. Eikens</w:t>
      </w:r>
      <w:r w:rsidR="000D1E97">
        <w:rPr>
          <w:rFonts w:cstheme="minorHAnsi"/>
        </w:rPr>
        <w:br/>
        <w:t xml:space="preserve">                          T. van der Es </w:t>
      </w:r>
      <w:r w:rsidR="000D1E97">
        <w:rPr>
          <w:rFonts w:cstheme="minorHAnsi"/>
        </w:rPr>
        <w:br/>
        <w:t xml:space="preserve">                          </w:t>
      </w:r>
      <w:r w:rsidR="000D1E97">
        <w:rPr>
          <w:rFonts w:cstheme="minorHAnsi"/>
        </w:rPr>
        <w:br/>
        <w:t xml:space="preserve">     </w:t>
      </w:r>
      <w:r w:rsidR="00172610">
        <w:rPr>
          <w:rFonts w:cstheme="minorHAnsi"/>
        </w:rPr>
        <w:t xml:space="preserve">   </w:t>
      </w:r>
    </w:p>
    <w:p w14:paraId="413CDB47" w14:textId="7639FED1" w:rsidR="00B24839" w:rsidRPr="00404172" w:rsidRDefault="00B24839" w:rsidP="00B24839">
      <w:pPr>
        <w:spacing w:line="240" w:lineRule="auto"/>
        <w:rPr>
          <w:rFonts w:cstheme="minorHAnsi"/>
          <w:b/>
          <w:bCs/>
          <w:lang w:val="en-US"/>
        </w:rPr>
      </w:pPr>
      <w:r w:rsidRPr="00404172">
        <w:rPr>
          <w:rFonts w:cstheme="minorHAnsi"/>
          <w:b/>
          <w:bCs/>
          <w:lang w:val="en-US"/>
        </w:rPr>
        <w:lastRenderedPageBreak/>
        <w:t>Referenties/ Verwijzingen/ Literatuur</w:t>
      </w:r>
      <w:r w:rsidR="00667695" w:rsidRPr="00404172">
        <w:rPr>
          <w:rFonts w:cstheme="minorHAnsi"/>
          <w:b/>
          <w:bCs/>
          <w:lang w:val="en-US"/>
        </w:rPr>
        <w:t>:</w:t>
      </w:r>
    </w:p>
    <w:p w14:paraId="56B51B8B" w14:textId="77777777" w:rsidR="00B24839" w:rsidRPr="0026373D" w:rsidRDefault="00B24839" w:rsidP="0026373D">
      <w:pPr>
        <w:pStyle w:val="Lijstalinea"/>
        <w:numPr>
          <w:ilvl w:val="0"/>
          <w:numId w:val="22"/>
        </w:numPr>
        <w:spacing w:line="240" w:lineRule="auto"/>
        <w:rPr>
          <w:rFonts w:cstheme="minorHAnsi"/>
          <w:lang w:val="en-US"/>
        </w:rPr>
      </w:pPr>
      <w:r w:rsidRPr="0026373D">
        <w:rPr>
          <w:rFonts w:cstheme="minorHAnsi"/>
          <w:lang w:val="en-US"/>
        </w:rPr>
        <w:t>Hofmeyr, G. J., Kulier, R. &amp; West, H. M. External cephalic version for breech presentation at term. Cochrane database Syst. Rev. 4, CD000083 (2015).</w:t>
      </w:r>
    </w:p>
    <w:p w14:paraId="7CEE7AC9" w14:textId="77777777" w:rsidR="00B24839" w:rsidRPr="0026373D" w:rsidRDefault="00B24839" w:rsidP="0026373D">
      <w:pPr>
        <w:pStyle w:val="Lijstalinea"/>
        <w:numPr>
          <w:ilvl w:val="0"/>
          <w:numId w:val="22"/>
        </w:numPr>
        <w:spacing w:line="240" w:lineRule="auto"/>
        <w:rPr>
          <w:rFonts w:cstheme="minorHAnsi"/>
          <w:lang w:val="en-US"/>
        </w:rPr>
      </w:pPr>
      <w:r w:rsidRPr="0026373D">
        <w:rPr>
          <w:rFonts w:cstheme="minorHAnsi"/>
          <w:lang w:val="en-US"/>
        </w:rPr>
        <w:t>Collaris, R. J. &amp; Oei, S. G. External cephalic version: a safe procedure? A systematic review of version-related risks. Acta Obstet. Gynecol. Scand. 83, 511–8 (2004).</w:t>
      </w:r>
    </w:p>
    <w:p w14:paraId="63E9624F" w14:textId="77777777" w:rsidR="00B24839" w:rsidRPr="0026373D" w:rsidRDefault="00B24839" w:rsidP="0026373D">
      <w:pPr>
        <w:pStyle w:val="Lijstalinea"/>
        <w:numPr>
          <w:ilvl w:val="0"/>
          <w:numId w:val="22"/>
        </w:numPr>
        <w:spacing w:line="240" w:lineRule="auto"/>
        <w:rPr>
          <w:rFonts w:cstheme="minorHAnsi"/>
          <w:lang w:val="en-US"/>
        </w:rPr>
      </w:pPr>
      <w:r w:rsidRPr="004D258A">
        <w:rPr>
          <w:rFonts w:cstheme="minorHAnsi"/>
        </w:rPr>
        <w:t xml:space="preserve">Hutton, E. K. et al. </w:t>
      </w:r>
      <w:r w:rsidRPr="0026373D">
        <w:rPr>
          <w:rFonts w:cstheme="minorHAnsi"/>
          <w:lang w:val="en-US"/>
        </w:rPr>
        <w:t>The Early External Cephalic Version (ECV) 2 Trial: an international multicentre randomised controlled trial of timing of ECV for breech pregnancies. Br. J. Obstet. Gynaecol. 118, 564–77 (2011).</w:t>
      </w:r>
    </w:p>
    <w:p w14:paraId="0B6D631E" w14:textId="77777777" w:rsidR="00B24839" w:rsidRPr="0026373D" w:rsidRDefault="00B24839" w:rsidP="0026373D">
      <w:pPr>
        <w:pStyle w:val="Lijstalinea"/>
        <w:numPr>
          <w:ilvl w:val="0"/>
          <w:numId w:val="22"/>
        </w:numPr>
        <w:spacing w:line="240" w:lineRule="auto"/>
        <w:rPr>
          <w:rFonts w:cstheme="minorHAnsi"/>
          <w:lang w:val="en-US"/>
        </w:rPr>
      </w:pPr>
      <w:r w:rsidRPr="0026373D">
        <w:rPr>
          <w:rFonts w:cstheme="minorHAnsi"/>
          <w:lang w:val="en-US"/>
        </w:rPr>
        <w:t>The Cost Implications in Ontario, Alberta, and British Columbia of Early Versus Delayed External Cephalic Version in the Early External Cephalic Version 2 (EECV2) Trial. Ahmed RJ, Gafni A, Hutton EK. J Obstet Gynaecol Can. 2016 Mar;38(3):235-245</w:t>
      </w:r>
    </w:p>
    <w:p w14:paraId="7E803762" w14:textId="77777777" w:rsidR="00B24839" w:rsidRPr="0026373D" w:rsidRDefault="00B24839" w:rsidP="0026373D">
      <w:pPr>
        <w:pStyle w:val="Lijstalinea"/>
        <w:numPr>
          <w:ilvl w:val="0"/>
          <w:numId w:val="22"/>
        </w:numPr>
        <w:spacing w:line="240" w:lineRule="auto"/>
        <w:rPr>
          <w:rFonts w:cstheme="minorHAnsi"/>
          <w:lang w:val="en-US"/>
        </w:rPr>
      </w:pPr>
      <w:r w:rsidRPr="0026373D">
        <w:rPr>
          <w:rFonts w:cstheme="minorHAnsi"/>
          <w:lang w:val="en-US"/>
        </w:rPr>
        <w:t>Magro-Malosso ER, Saccone G, Di Tommaso M, Mele M, Berghella V. Neuraxial analgesia to increase the success rate of external cephalic version: a systematic review and meta-analysis of randomized controlled trials. Am J Obstet Gynecol. 2016 Sep; 215(3): 276-86.</w:t>
      </w:r>
    </w:p>
    <w:p w14:paraId="17D9A15E" w14:textId="77777777" w:rsidR="00B24839" w:rsidRPr="0026373D" w:rsidRDefault="00B24839" w:rsidP="0026373D">
      <w:pPr>
        <w:pStyle w:val="Lijstalinea"/>
        <w:numPr>
          <w:ilvl w:val="0"/>
          <w:numId w:val="22"/>
        </w:numPr>
        <w:spacing w:line="240" w:lineRule="auto"/>
        <w:rPr>
          <w:rFonts w:cstheme="minorHAnsi"/>
        </w:rPr>
      </w:pPr>
      <w:r w:rsidRPr="0026373D">
        <w:rPr>
          <w:rFonts w:cstheme="minorHAnsi"/>
          <w:lang w:val="en-US"/>
        </w:rPr>
        <w:t xml:space="preserve">Burgos J, Pijoan JI, Osuna C, Cobos P, Rodriguez L, Centeno Mdel M, Serna R, Jimenez A, Garcia E, Fernandez-Llebrez L, Melchor JC. Increased pain relief with remifentanil does not improve the success rate of external cephalic version: a randomized controlled trial. Acta Obstet Gynecol Scand. 2016 May; 95(5): 547-54.Velzel et al. Atosiban versus fenoterol as a uterine relaxant for external cephalic version: randomised controlled trial. </w:t>
      </w:r>
      <w:r w:rsidRPr="0026373D">
        <w:rPr>
          <w:rFonts w:cstheme="minorHAnsi"/>
        </w:rPr>
        <w:t>British Medical Journal. 2017 Jan 26;356: i6773</w:t>
      </w:r>
    </w:p>
    <w:p w14:paraId="131042E1" w14:textId="77777777" w:rsidR="00B24839" w:rsidRPr="0026373D" w:rsidRDefault="00B24839" w:rsidP="0026373D">
      <w:pPr>
        <w:pStyle w:val="Lijstalinea"/>
        <w:numPr>
          <w:ilvl w:val="0"/>
          <w:numId w:val="22"/>
        </w:numPr>
        <w:spacing w:line="240" w:lineRule="auto"/>
        <w:rPr>
          <w:rFonts w:cstheme="minorHAnsi"/>
        </w:rPr>
      </w:pPr>
      <w:r w:rsidRPr="0026373D">
        <w:rPr>
          <w:rFonts w:cstheme="minorHAnsi"/>
        </w:rPr>
        <w:t>NVOG (2008). Richtlijn: Bloedverlies in de tweede helft zwangerschap versie 2.0. Nederlandse vereniging voor obstetrie &amp; gynaecologie</w:t>
      </w:r>
    </w:p>
    <w:p w14:paraId="71E28043" w14:textId="77777777" w:rsidR="00B24839" w:rsidRPr="0026373D" w:rsidRDefault="00B24839" w:rsidP="0026373D">
      <w:pPr>
        <w:pStyle w:val="Lijstalinea"/>
        <w:numPr>
          <w:ilvl w:val="0"/>
          <w:numId w:val="22"/>
        </w:numPr>
        <w:spacing w:line="240" w:lineRule="auto"/>
        <w:rPr>
          <w:rFonts w:cstheme="minorHAnsi"/>
        </w:rPr>
      </w:pPr>
      <w:r w:rsidRPr="0026373D">
        <w:rPr>
          <w:rFonts w:cstheme="minorHAnsi"/>
        </w:rPr>
        <w:t>NVOG (2008). Richtlijn: Stuitligging versie 2.0. Nederlandse vereniging voor obstetrie &amp; gynaecologie</w:t>
      </w:r>
    </w:p>
    <w:p w14:paraId="195F71F8" w14:textId="77777777" w:rsidR="00B24839" w:rsidRPr="0026373D" w:rsidRDefault="00B24839" w:rsidP="0026373D">
      <w:pPr>
        <w:pStyle w:val="Lijstalinea"/>
        <w:numPr>
          <w:ilvl w:val="0"/>
          <w:numId w:val="22"/>
        </w:numPr>
        <w:spacing w:line="240" w:lineRule="auto"/>
        <w:rPr>
          <w:rFonts w:cstheme="minorHAnsi"/>
          <w:lang w:val="en-US"/>
        </w:rPr>
      </w:pPr>
      <w:r w:rsidRPr="0026373D">
        <w:rPr>
          <w:rFonts w:cstheme="minorHAnsi"/>
          <w:lang w:val="en-US"/>
        </w:rPr>
        <w:t>RCOG (2017). External cephalic version and reducing the incidence of term breech presentation. Royal college of obstetricians and gynaecologists trial on medical intervention behaviour and neonatal outcome in The Netherlands: an analysis of 35,453 term breech infants. British journal of obstetrics and gynecology. Feb;112(2), 205-209.</w:t>
      </w:r>
    </w:p>
    <w:p w14:paraId="7DA3F2A9" w14:textId="77777777" w:rsidR="00B24839" w:rsidRPr="0026373D" w:rsidRDefault="00B24839" w:rsidP="0026373D">
      <w:pPr>
        <w:pStyle w:val="Lijstalinea"/>
        <w:numPr>
          <w:ilvl w:val="0"/>
          <w:numId w:val="22"/>
        </w:numPr>
        <w:spacing w:line="240" w:lineRule="auto"/>
        <w:rPr>
          <w:rFonts w:cstheme="minorHAnsi"/>
        </w:rPr>
      </w:pPr>
      <w:r w:rsidRPr="004D258A">
        <w:rPr>
          <w:rFonts w:cstheme="minorHAnsi"/>
        </w:rPr>
        <w:t xml:space="preserve">Roosmalen, J. van &amp; Meguid, T. (2014). </w:t>
      </w:r>
      <w:r w:rsidRPr="0026373D">
        <w:rPr>
          <w:rFonts w:cstheme="minorHAnsi"/>
          <w:lang w:val="en-US"/>
        </w:rPr>
        <w:t xml:space="preserve">The dilemma of vaginal breech delivery worldwide.      </w:t>
      </w:r>
      <w:r w:rsidRPr="0026373D">
        <w:rPr>
          <w:rFonts w:cstheme="minorHAnsi"/>
        </w:rPr>
        <w:t>Lancet. May 31;383(9932), 1863-1864.</w:t>
      </w:r>
    </w:p>
    <w:p w14:paraId="15A126BF" w14:textId="77777777" w:rsidR="00B24839" w:rsidRPr="0026373D" w:rsidRDefault="00B24839" w:rsidP="0026373D">
      <w:pPr>
        <w:pStyle w:val="Lijstalinea"/>
        <w:numPr>
          <w:ilvl w:val="0"/>
          <w:numId w:val="22"/>
        </w:numPr>
        <w:spacing w:line="240" w:lineRule="auto"/>
        <w:rPr>
          <w:rFonts w:cstheme="minorHAnsi"/>
        </w:rPr>
      </w:pPr>
      <w:r w:rsidRPr="0026373D">
        <w:rPr>
          <w:rFonts w:cstheme="minorHAnsi"/>
        </w:rPr>
        <w:t xml:space="preserve">Schutte, J.M., Steegers, E.A., Santema, J.G., Schuitemaker, N.W. &amp; Roosmalen, J. van (2007).  </w:t>
      </w:r>
      <w:r w:rsidRPr="0026373D">
        <w:rPr>
          <w:rFonts w:cstheme="minorHAnsi"/>
          <w:lang w:val="en-US"/>
        </w:rPr>
        <w:t xml:space="preserve">Maternal mortality committee of the netherlands society of obstetrics. Maternal deaths after     elective cesarean section for breech presentation in the Netherlands. </w:t>
      </w:r>
      <w:r w:rsidRPr="0026373D">
        <w:rPr>
          <w:rFonts w:cstheme="minorHAnsi"/>
        </w:rPr>
        <w:t>Acta obstetricia et gynecologica scandinavica. 2007;86(2), 240-243.</w:t>
      </w:r>
    </w:p>
    <w:p w14:paraId="6CAB81C3" w14:textId="6AFD283F" w:rsidR="009B1EEC" w:rsidRDefault="00B24839" w:rsidP="009B1EEC">
      <w:pPr>
        <w:pStyle w:val="Lijstalinea"/>
        <w:numPr>
          <w:ilvl w:val="0"/>
          <w:numId w:val="22"/>
        </w:numPr>
        <w:spacing w:line="240" w:lineRule="auto"/>
        <w:rPr>
          <w:rFonts w:cstheme="minorHAnsi"/>
          <w:lang w:val="en-US"/>
        </w:rPr>
      </w:pPr>
      <w:r w:rsidRPr="0026373D">
        <w:rPr>
          <w:rFonts w:cstheme="minorHAnsi"/>
          <w:lang w:val="en-US"/>
        </w:rPr>
        <w:t>Uptodate (2016). Overview of issues related to breech presentation</w:t>
      </w:r>
      <w:r w:rsidR="00275C78">
        <w:rPr>
          <w:rFonts w:cstheme="minorHAnsi"/>
          <w:lang w:val="en-US"/>
        </w:rPr>
        <w:t>.</w:t>
      </w:r>
    </w:p>
    <w:p w14:paraId="5424BEDB" w14:textId="18776257" w:rsidR="00275C78" w:rsidRDefault="00275C78" w:rsidP="00275C78">
      <w:pPr>
        <w:spacing w:line="240" w:lineRule="auto"/>
        <w:rPr>
          <w:rFonts w:cstheme="minorHAnsi"/>
          <w:lang w:val="en-US"/>
        </w:rPr>
      </w:pPr>
    </w:p>
    <w:p w14:paraId="3414F4A9" w14:textId="22FAC6E5" w:rsidR="00275C78" w:rsidRDefault="00275C78" w:rsidP="00275C78">
      <w:pPr>
        <w:spacing w:line="240" w:lineRule="auto"/>
        <w:rPr>
          <w:rFonts w:cstheme="minorHAnsi"/>
          <w:lang w:val="en-US"/>
        </w:rPr>
      </w:pPr>
    </w:p>
    <w:p w14:paraId="09AD0E52" w14:textId="77777777" w:rsidR="00275C78" w:rsidRPr="00275C78" w:rsidRDefault="00275C78" w:rsidP="00275C78">
      <w:pPr>
        <w:spacing w:line="240" w:lineRule="auto"/>
        <w:rPr>
          <w:rFonts w:cstheme="minorHAnsi"/>
          <w:lang w:val="en-US"/>
        </w:rPr>
      </w:pPr>
    </w:p>
    <w:sectPr w:rsidR="00275C78" w:rsidRPr="00275C78">
      <w:footerReference w:type="default" r:id="rId13"/>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19536" w14:textId="77777777" w:rsidR="000D29EA" w:rsidRDefault="000D29EA" w:rsidP="008F577F">
      <w:pPr>
        <w:spacing w:after="0" w:line="240" w:lineRule="auto"/>
      </w:pPr>
      <w:r>
        <w:separator/>
      </w:r>
    </w:p>
  </w:endnote>
  <w:endnote w:type="continuationSeparator" w:id="0">
    <w:p w14:paraId="616416FC" w14:textId="77777777" w:rsidR="000D29EA" w:rsidRDefault="000D29EA" w:rsidP="008F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598551"/>
      <w:docPartObj>
        <w:docPartGallery w:val="Page Numbers (Bottom of Page)"/>
        <w:docPartUnique/>
      </w:docPartObj>
    </w:sdtPr>
    <w:sdtEndPr/>
    <w:sdtContent>
      <w:p w14:paraId="683022FC" w14:textId="7539048F" w:rsidR="00EA61E0" w:rsidRDefault="00EA61E0">
        <w:pPr>
          <w:pStyle w:val="Voettekst"/>
          <w:jc w:val="right"/>
        </w:pPr>
        <w:r>
          <w:fldChar w:fldCharType="begin"/>
        </w:r>
        <w:r>
          <w:instrText>PAGE   \* MERGEFORMAT</w:instrText>
        </w:r>
        <w:r>
          <w:fldChar w:fldCharType="separate"/>
        </w:r>
        <w:r w:rsidR="00683798">
          <w:rPr>
            <w:noProof/>
          </w:rPr>
          <w:t>1</w:t>
        </w:r>
        <w:r>
          <w:fldChar w:fldCharType="end"/>
        </w:r>
      </w:p>
    </w:sdtContent>
  </w:sdt>
  <w:p w14:paraId="713DA42D" w14:textId="77777777" w:rsidR="00EA61E0" w:rsidRDefault="00EA61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5CD02" w14:textId="77777777" w:rsidR="000D29EA" w:rsidRDefault="000D29EA" w:rsidP="008F577F">
      <w:pPr>
        <w:spacing w:after="0" w:line="240" w:lineRule="auto"/>
      </w:pPr>
      <w:r>
        <w:separator/>
      </w:r>
    </w:p>
  </w:footnote>
  <w:footnote w:type="continuationSeparator" w:id="0">
    <w:p w14:paraId="00DE95C3" w14:textId="77777777" w:rsidR="000D29EA" w:rsidRDefault="000D29EA" w:rsidP="008F5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5DD"/>
    <w:multiLevelType w:val="hybridMultilevel"/>
    <w:tmpl w:val="9DEE392C"/>
    <w:lvl w:ilvl="0" w:tplc="04130001">
      <w:start w:val="1"/>
      <w:numFmt w:val="bullet"/>
      <w:lvlText w:val=""/>
      <w:lvlJc w:val="left"/>
      <w:pPr>
        <w:ind w:left="720" w:hanging="360"/>
      </w:pPr>
      <w:rPr>
        <w:rFonts w:ascii="Symbol" w:hAnsi="Symbol" w:hint="default"/>
      </w:rPr>
    </w:lvl>
    <w:lvl w:ilvl="1" w:tplc="A73C4146">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12CC9"/>
    <w:multiLevelType w:val="hybridMultilevel"/>
    <w:tmpl w:val="C76E7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01703C"/>
    <w:multiLevelType w:val="hybridMultilevel"/>
    <w:tmpl w:val="12AE2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39399C"/>
    <w:multiLevelType w:val="hybridMultilevel"/>
    <w:tmpl w:val="A1107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035947"/>
    <w:multiLevelType w:val="hybridMultilevel"/>
    <w:tmpl w:val="8EF26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151F94"/>
    <w:multiLevelType w:val="hybridMultilevel"/>
    <w:tmpl w:val="642EB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716F36"/>
    <w:multiLevelType w:val="hybridMultilevel"/>
    <w:tmpl w:val="8FF8947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BD573E6"/>
    <w:multiLevelType w:val="hybridMultilevel"/>
    <w:tmpl w:val="5DC84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1152AF"/>
    <w:multiLevelType w:val="hybridMultilevel"/>
    <w:tmpl w:val="8AE4F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4238F3"/>
    <w:multiLevelType w:val="hybridMultilevel"/>
    <w:tmpl w:val="1CF0A1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C50DE6"/>
    <w:multiLevelType w:val="hybridMultilevel"/>
    <w:tmpl w:val="BABC61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D17D33"/>
    <w:multiLevelType w:val="hybridMultilevel"/>
    <w:tmpl w:val="3664E530"/>
    <w:lvl w:ilvl="0" w:tplc="BBAE73E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ADF6B82"/>
    <w:multiLevelType w:val="hybridMultilevel"/>
    <w:tmpl w:val="D902C00A"/>
    <w:lvl w:ilvl="0" w:tplc="68F609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71310A"/>
    <w:multiLevelType w:val="hybridMultilevel"/>
    <w:tmpl w:val="324CE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1B27BD"/>
    <w:multiLevelType w:val="hybridMultilevel"/>
    <w:tmpl w:val="4ABC8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500A01"/>
    <w:multiLevelType w:val="hybridMultilevel"/>
    <w:tmpl w:val="FABC8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241D8A"/>
    <w:multiLevelType w:val="hybridMultilevel"/>
    <w:tmpl w:val="A73C1546"/>
    <w:lvl w:ilvl="0" w:tplc="BBAE73E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E30710A"/>
    <w:multiLevelType w:val="hybridMultilevel"/>
    <w:tmpl w:val="D1E27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364492"/>
    <w:multiLevelType w:val="hybridMultilevel"/>
    <w:tmpl w:val="C0A65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6F2AD9"/>
    <w:multiLevelType w:val="hybridMultilevel"/>
    <w:tmpl w:val="12B277C0"/>
    <w:lvl w:ilvl="0" w:tplc="04130001">
      <w:start w:val="1"/>
      <w:numFmt w:val="bullet"/>
      <w:lvlText w:val=""/>
      <w:lvlJc w:val="left"/>
      <w:pPr>
        <w:ind w:left="720" w:hanging="360"/>
      </w:pPr>
      <w:rPr>
        <w:rFonts w:ascii="Symbol" w:hAnsi="Symbol" w:hint="default"/>
      </w:rPr>
    </w:lvl>
    <w:lvl w:ilvl="1" w:tplc="BBAE73E2">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110AF0"/>
    <w:multiLevelType w:val="hybridMultilevel"/>
    <w:tmpl w:val="9B44EB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85C2A25"/>
    <w:multiLevelType w:val="hybridMultilevel"/>
    <w:tmpl w:val="2DEAE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3C1E06"/>
    <w:multiLevelType w:val="hybridMultilevel"/>
    <w:tmpl w:val="2214A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D045914"/>
    <w:multiLevelType w:val="hybridMultilevel"/>
    <w:tmpl w:val="5ACA5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196D4D"/>
    <w:multiLevelType w:val="hybridMultilevel"/>
    <w:tmpl w:val="EB664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D11F38"/>
    <w:multiLevelType w:val="hybridMultilevel"/>
    <w:tmpl w:val="A7086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4730BEC"/>
    <w:multiLevelType w:val="hybridMultilevel"/>
    <w:tmpl w:val="25E081E6"/>
    <w:lvl w:ilvl="0" w:tplc="2F08B4DA">
      <w:start w:val="85"/>
      <w:numFmt w:val="bullet"/>
      <w:lvlText w:val=""/>
      <w:lvlJc w:val="left"/>
      <w:pPr>
        <w:ind w:left="1410" w:hanging="360"/>
      </w:pPr>
      <w:rPr>
        <w:rFonts w:ascii="Symbol" w:eastAsiaTheme="minorHAnsi" w:hAnsi="Symbol" w:cstheme="minorBidi" w:hint="default"/>
      </w:rPr>
    </w:lvl>
    <w:lvl w:ilvl="1" w:tplc="04130003" w:tentative="1">
      <w:start w:val="1"/>
      <w:numFmt w:val="bullet"/>
      <w:lvlText w:val="o"/>
      <w:lvlJc w:val="left"/>
      <w:pPr>
        <w:ind w:left="2130" w:hanging="360"/>
      </w:pPr>
      <w:rPr>
        <w:rFonts w:ascii="Courier New" w:hAnsi="Courier New" w:cs="Courier New" w:hint="default"/>
      </w:rPr>
    </w:lvl>
    <w:lvl w:ilvl="2" w:tplc="04130005" w:tentative="1">
      <w:start w:val="1"/>
      <w:numFmt w:val="bullet"/>
      <w:lvlText w:val=""/>
      <w:lvlJc w:val="left"/>
      <w:pPr>
        <w:ind w:left="2850" w:hanging="360"/>
      </w:pPr>
      <w:rPr>
        <w:rFonts w:ascii="Wingdings" w:hAnsi="Wingdings" w:hint="default"/>
      </w:rPr>
    </w:lvl>
    <w:lvl w:ilvl="3" w:tplc="04130001" w:tentative="1">
      <w:start w:val="1"/>
      <w:numFmt w:val="bullet"/>
      <w:lvlText w:val=""/>
      <w:lvlJc w:val="left"/>
      <w:pPr>
        <w:ind w:left="3570" w:hanging="360"/>
      </w:pPr>
      <w:rPr>
        <w:rFonts w:ascii="Symbol" w:hAnsi="Symbol" w:hint="default"/>
      </w:rPr>
    </w:lvl>
    <w:lvl w:ilvl="4" w:tplc="04130003" w:tentative="1">
      <w:start w:val="1"/>
      <w:numFmt w:val="bullet"/>
      <w:lvlText w:val="o"/>
      <w:lvlJc w:val="left"/>
      <w:pPr>
        <w:ind w:left="4290" w:hanging="360"/>
      </w:pPr>
      <w:rPr>
        <w:rFonts w:ascii="Courier New" w:hAnsi="Courier New" w:cs="Courier New" w:hint="default"/>
      </w:rPr>
    </w:lvl>
    <w:lvl w:ilvl="5" w:tplc="04130005" w:tentative="1">
      <w:start w:val="1"/>
      <w:numFmt w:val="bullet"/>
      <w:lvlText w:val=""/>
      <w:lvlJc w:val="left"/>
      <w:pPr>
        <w:ind w:left="5010" w:hanging="360"/>
      </w:pPr>
      <w:rPr>
        <w:rFonts w:ascii="Wingdings" w:hAnsi="Wingdings" w:hint="default"/>
      </w:rPr>
    </w:lvl>
    <w:lvl w:ilvl="6" w:tplc="04130001" w:tentative="1">
      <w:start w:val="1"/>
      <w:numFmt w:val="bullet"/>
      <w:lvlText w:val=""/>
      <w:lvlJc w:val="left"/>
      <w:pPr>
        <w:ind w:left="5730" w:hanging="360"/>
      </w:pPr>
      <w:rPr>
        <w:rFonts w:ascii="Symbol" w:hAnsi="Symbol" w:hint="default"/>
      </w:rPr>
    </w:lvl>
    <w:lvl w:ilvl="7" w:tplc="04130003" w:tentative="1">
      <w:start w:val="1"/>
      <w:numFmt w:val="bullet"/>
      <w:lvlText w:val="o"/>
      <w:lvlJc w:val="left"/>
      <w:pPr>
        <w:ind w:left="6450" w:hanging="360"/>
      </w:pPr>
      <w:rPr>
        <w:rFonts w:ascii="Courier New" w:hAnsi="Courier New" w:cs="Courier New" w:hint="default"/>
      </w:rPr>
    </w:lvl>
    <w:lvl w:ilvl="8" w:tplc="04130005" w:tentative="1">
      <w:start w:val="1"/>
      <w:numFmt w:val="bullet"/>
      <w:lvlText w:val=""/>
      <w:lvlJc w:val="left"/>
      <w:pPr>
        <w:ind w:left="7170" w:hanging="360"/>
      </w:pPr>
      <w:rPr>
        <w:rFonts w:ascii="Wingdings" w:hAnsi="Wingdings" w:hint="default"/>
      </w:rPr>
    </w:lvl>
  </w:abstractNum>
  <w:abstractNum w:abstractNumId="27" w15:restartNumberingAfterBreak="0">
    <w:nsid w:val="57CD2538"/>
    <w:multiLevelType w:val="hybridMultilevel"/>
    <w:tmpl w:val="8D928C9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C817883"/>
    <w:multiLevelType w:val="hybridMultilevel"/>
    <w:tmpl w:val="F2740C9E"/>
    <w:lvl w:ilvl="0" w:tplc="2F08B4DA">
      <w:start w:val="8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FDD6083"/>
    <w:multiLevelType w:val="hybridMultilevel"/>
    <w:tmpl w:val="9D401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A749B8"/>
    <w:multiLevelType w:val="hybridMultilevel"/>
    <w:tmpl w:val="F7D43B1C"/>
    <w:lvl w:ilvl="0" w:tplc="BBAE73E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651A52C6"/>
    <w:multiLevelType w:val="hybridMultilevel"/>
    <w:tmpl w:val="EA5AFB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4806E9"/>
    <w:multiLevelType w:val="hybridMultilevel"/>
    <w:tmpl w:val="706C4A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8D567F"/>
    <w:multiLevelType w:val="hybridMultilevel"/>
    <w:tmpl w:val="3FB0B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795446"/>
    <w:multiLevelType w:val="hybridMultilevel"/>
    <w:tmpl w:val="78A6D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0"/>
  </w:num>
  <w:num w:numId="4">
    <w:abstractNumId w:val="10"/>
  </w:num>
  <w:num w:numId="5">
    <w:abstractNumId w:val="22"/>
  </w:num>
  <w:num w:numId="6">
    <w:abstractNumId w:val="7"/>
  </w:num>
  <w:num w:numId="7">
    <w:abstractNumId w:val="4"/>
  </w:num>
  <w:num w:numId="8">
    <w:abstractNumId w:val="31"/>
  </w:num>
  <w:num w:numId="9">
    <w:abstractNumId w:val="15"/>
  </w:num>
  <w:num w:numId="10">
    <w:abstractNumId w:val="1"/>
  </w:num>
  <w:num w:numId="11">
    <w:abstractNumId w:val="6"/>
  </w:num>
  <w:num w:numId="12">
    <w:abstractNumId w:val="13"/>
  </w:num>
  <w:num w:numId="13">
    <w:abstractNumId w:val="8"/>
  </w:num>
  <w:num w:numId="14">
    <w:abstractNumId w:val="33"/>
  </w:num>
  <w:num w:numId="15">
    <w:abstractNumId w:val="2"/>
  </w:num>
  <w:num w:numId="16">
    <w:abstractNumId w:val="11"/>
  </w:num>
  <w:num w:numId="17">
    <w:abstractNumId w:val="30"/>
  </w:num>
  <w:num w:numId="18">
    <w:abstractNumId w:val="27"/>
  </w:num>
  <w:num w:numId="19">
    <w:abstractNumId w:val="16"/>
  </w:num>
  <w:num w:numId="20">
    <w:abstractNumId w:val="29"/>
  </w:num>
  <w:num w:numId="21">
    <w:abstractNumId w:val="9"/>
  </w:num>
  <w:num w:numId="22">
    <w:abstractNumId w:val="32"/>
  </w:num>
  <w:num w:numId="23">
    <w:abstractNumId w:val="19"/>
  </w:num>
  <w:num w:numId="24">
    <w:abstractNumId w:val="21"/>
  </w:num>
  <w:num w:numId="25">
    <w:abstractNumId w:val="28"/>
  </w:num>
  <w:num w:numId="26">
    <w:abstractNumId w:val="26"/>
  </w:num>
  <w:num w:numId="27">
    <w:abstractNumId w:val="12"/>
  </w:num>
  <w:num w:numId="28">
    <w:abstractNumId w:val="25"/>
  </w:num>
  <w:num w:numId="29">
    <w:abstractNumId w:val="34"/>
  </w:num>
  <w:num w:numId="30">
    <w:abstractNumId w:val="23"/>
  </w:num>
  <w:num w:numId="31">
    <w:abstractNumId w:val="24"/>
  </w:num>
  <w:num w:numId="32">
    <w:abstractNumId w:val="5"/>
  </w:num>
  <w:num w:numId="33">
    <w:abstractNumId w:val="14"/>
  </w:num>
  <w:num w:numId="34">
    <w:abstractNumId w:val="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04"/>
    <w:rsid w:val="00015B53"/>
    <w:rsid w:val="000212CA"/>
    <w:rsid w:val="000238D6"/>
    <w:rsid w:val="00026F33"/>
    <w:rsid w:val="00034C56"/>
    <w:rsid w:val="0003615E"/>
    <w:rsid w:val="0005342B"/>
    <w:rsid w:val="00055748"/>
    <w:rsid w:val="00083C27"/>
    <w:rsid w:val="00093807"/>
    <w:rsid w:val="000A2B6A"/>
    <w:rsid w:val="000B6C24"/>
    <w:rsid w:val="000D1E97"/>
    <w:rsid w:val="000D29EA"/>
    <w:rsid w:val="000E016D"/>
    <w:rsid w:val="000E6294"/>
    <w:rsid w:val="001237D5"/>
    <w:rsid w:val="0012476D"/>
    <w:rsid w:val="00127EB0"/>
    <w:rsid w:val="00140DC4"/>
    <w:rsid w:val="00141144"/>
    <w:rsid w:val="00166A13"/>
    <w:rsid w:val="00172610"/>
    <w:rsid w:val="001A508E"/>
    <w:rsid w:val="001E3537"/>
    <w:rsid w:val="001E37DD"/>
    <w:rsid w:val="001F2E94"/>
    <w:rsid w:val="001F4036"/>
    <w:rsid w:val="001F5817"/>
    <w:rsid w:val="002059FF"/>
    <w:rsid w:val="00227AE4"/>
    <w:rsid w:val="00236F18"/>
    <w:rsid w:val="00263404"/>
    <w:rsid w:val="0026373D"/>
    <w:rsid w:val="00274777"/>
    <w:rsid w:val="002753BE"/>
    <w:rsid w:val="00275C78"/>
    <w:rsid w:val="00284B3A"/>
    <w:rsid w:val="002A732A"/>
    <w:rsid w:val="002B7517"/>
    <w:rsid w:val="002C3CB6"/>
    <w:rsid w:val="002C6A1C"/>
    <w:rsid w:val="002D1262"/>
    <w:rsid w:val="002E0AA8"/>
    <w:rsid w:val="0031396B"/>
    <w:rsid w:val="00323CFF"/>
    <w:rsid w:val="00333CAD"/>
    <w:rsid w:val="00350C9F"/>
    <w:rsid w:val="00374001"/>
    <w:rsid w:val="003A362D"/>
    <w:rsid w:val="003B3464"/>
    <w:rsid w:val="003F7AC7"/>
    <w:rsid w:val="00404172"/>
    <w:rsid w:val="004120AE"/>
    <w:rsid w:val="00415075"/>
    <w:rsid w:val="0042742C"/>
    <w:rsid w:val="00437A61"/>
    <w:rsid w:val="00441077"/>
    <w:rsid w:val="00441981"/>
    <w:rsid w:val="00447589"/>
    <w:rsid w:val="00471345"/>
    <w:rsid w:val="00481C51"/>
    <w:rsid w:val="00483C08"/>
    <w:rsid w:val="00485A9E"/>
    <w:rsid w:val="004C3188"/>
    <w:rsid w:val="004C461C"/>
    <w:rsid w:val="004D258A"/>
    <w:rsid w:val="004E70C6"/>
    <w:rsid w:val="00505AB1"/>
    <w:rsid w:val="00516A26"/>
    <w:rsid w:val="00521415"/>
    <w:rsid w:val="00537BFD"/>
    <w:rsid w:val="005465DC"/>
    <w:rsid w:val="005830E9"/>
    <w:rsid w:val="0058657E"/>
    <w:rsid w:val="00590D49"/>
    <w:rsid w:val="005B23ED"/>
    <w:rsid w:val="005B4804"/>
    <w:rsid w:val="005D70EB"/>
    <w:rsid w:val="00621B55"/>
    <w:rsid w:val="00634735"/>
    <w:rsid w:val="0065420E"/>
    <w:rsid w:val="00667695"/>
    <w:rsid w:val="00670EDE"/>
    <w:rsid w:val="00680681"/>
    <w:rsid w:val="00683798"/>
    <w:rsid w:val="006A0E07"/>
    <w:rsid w:val="006B1F7A"/>
    <w:rsid w:val="006B31D9"/>
    <w:rsid w:val="006C6D68"/>
    <w:rsid w:val="006E164F"/>
    <w:rsid w:val="00700B13"/>
    <w:rsid w:val="0070487F"/>
    <w:rsid w:val="00716ED9"/>
    <w:rsid w:val="007170C4"/>
    <w:rsid w:val="007209F7"/>
    <w:rsid w:val="00733950"/>
    <w:rsid w:val="00737393"/>
    <w:rsid w:val="00740855"/>
    <w:rsid w:val="00755002"/>
    <w:rsid w:val="00777084"/>
    <w:rsid w:val="007A5854"/>
    <w:rsid w:val="007B37B9"/>
    <w:rsid w:val="007B485C"/>
    <w:rsid w:val="007B4B22"/>
    <w:rsid w:val="008023B6"/>
    <w:rsid w:val="008124E0"/>
    <w:rsid w:val="0083727D"/>
    <w:rsid w:val="00853779"/>
    <w:rsid w:val="008672FC"/>
    <w:rsid w:val="00875416"/>
    <w:rsid w:val="00887E6B"/>
    <w:rsid w:val="00894122"/>
    <w:rsid w:val="00896260"/>
    <w:rsid w:val="00896783"/>
    <w:rsid w:val="008A1E4A"/>
    <w:rsid w:val="008C03C0"/>
    <w:rsid w:val="008C672F"/>
    <w:rsid w:val="008F577F"/>
    <w:rsid w:val="008F73BA"/>
    <w:rsid w:val="0090628F"/>
    <w:rsid w:val="00930B60"/>
    <w:rsid w:val="00931A4E"/>
    <w:rsid w:val="00935A32"/>
    <w:rsid w:val="00936AE5"/>
    <w:rsid w:val="00962793"/>
    <w:rsid w:val="00970896"/>
    <w:rsid w:val="00987710"/>
    <w:rsid w:val="00997DA2"/>
    <w:rsid w:val="009B1EEC"/>
    <w:rsid w:val="009B3F01"/>
    <w:rsid w:val="009C24F1"/>
    <w:rsid w:val="009C664F"/>
    <w:rsid w:val="00A039E1"/>
    <w:rsid w:val="00A22D9C"/>
    <w:rsid w:val="00A36642"/>
    <w:rsid w:val="00A44612"/>
    <w:rsid w:val="00A61D67"/>
    <w:rsid w:val="00A6658C"/>
    <w:rsid w:val="00A9008B"/>
    <w:rsid w:val="00A94FA2"/>
    <w:rsid w:val="00A96656"/>
    <w:rsid w:val="00AA30C4"/>
    <w:rsid w:val="00AB3A69"/>
    <w:rsid w:val="00AB6580"/>
    <w:rsid w:val="00AC0E49"/>
    <w:rsid w:val="00AD0A57"/>
    <w:rsid w:val="00AE3543"/>
    <w:rsid w:val="00AF6B70"/>
    <w:rsid w:val="00B114D0"/>
    <w:rsid w:val="00B211E7"/>
    <w:rsid w:val="00B24839"/>
    <w:rsid w:val="00B329A8"/>
    <w:rsid w:val="00B465B5"/>
    <w:rsid w:val="00B666C5"/>
    <w:rsid w:val="00B71E91"/>
    <w:rsid w:val="00B73788"/>
    <w:rsid w:val="00B7626B"/>
    <w:rsid w:val="00BA627A"/>
    <w:rsid w:val="00BB4612"/>
    <w:rsid w:val="00BB6950"/>
    <w:rsid w:val="00BC1D31"/>
    <w:rsid w:val="00BF39BC"/>
    <w:rsid w:val="00C065F7"/>
    <w:rsid w:val="00C07E5E"/>
    <w:rsid w:val="00C15251"/>
    <w:rsid w:val="00C350D6"/>
    <w:rsid w:val="00C41D7E"/>
    <w:rsid w:val="00C80AA6"/>
    <w:rsid w:val="00C84EC6"/>
    <w:rsid w:val="00C94B95"/>
    <w:rsid w:val="00C95CD1"/>
    <w:rsid w:val="00CB6A7D"/>
    <w:rsid w:val="00CB7C5D"/>
    <w:rsid w:val="00CC0844"/>
    <w:rsid w:val="00CF6E5A"/>
    <w:rsid w:val="00CF73EA"/>
    <w:rsid w:val="00D14F7F"/>
    <w:rsid w:val="00D22471"/>
    <w:rsid w:val="00D2598E"/>
    <w:rsid w:val="00D45F6B"/>
    <w:rsid w:val="00D47046"/>
    <w:rsid w:val="00D720AC"/>
    <w:rsid w:val="00DE088B"/>
    <w:rsid w:val="00DE14DD"/>
    <w:rsid w:val="00DE1C77"/>
    <w:rsid w:val="00DF1224"/>
    <w:rsid w:val="00E00C5F"/>
    <w:rsid w:val="00E271B4"/>
    <w:rsid w:val="00E35AE1"/>
    <w:rsid w:val="00E40111"/>
    <w:rsid w:val="00E62AC9"/>
    <w:rsid w:val="00E835C0"/>
    <w:rsid w:val="00EA382D"/>
    <w:rsid w:val="00EA4C43"/>
    <w:rsid w:val="00EA61E0"/>
    <w:rsid w:val="00EB1AEB"/>
    <w:rsid w:val="00EB6214"/>
    <w:rsid w:val="00ED1FE2"/>
    <w:rsid w:val="00ED5DFA"/>
    <w:rsid w:val="00F16365"/>
    <w:rsid w:val="00F31039"/>
    <w:rsid w:val="00F50A47"/>
    <w:rsid w:val="00F55CFE"/>
    <w:rsid w:val="00F56BDD"/>
    <w:rsid w:val="00F60AF8"/>
    <w:rsid w:val="00F618E1"/>
    <w:rsid w:val="00F916FD"/>
    <w:rsid w:val="00FB52F4"/>
    <w:rsid w:val="00FC5EF1"/>
    <w:rsid w:val="00FE5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EE25"/>
  <w15:chartTrackingRefBased/>
  <w15:docId w15:val="{789C7FE8-CC0C-48F6-9832-B0A8D6F8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258A"/>
  </w:style>
  <w:style w:type="paragraph" w:styleId="Kop1">
    <w:name w:val="heading 1"/>
    <w:basedOn w:val="Standaard"/>
    <w:next w:val="Standaard"/>
    <w:link w:val="Kop1Char"/>
    <w:uiPriority w:val="9"/>
    <w:qFormat/>
    <w:rsid w:val="002634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340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96260"/>
    <w:pPr>
      <w:ind w:left="720"/>
      <w:contextualSpacing/>
    </w:pPr>
  </w:style>
  <w:style w:type="character" w:styleId="Hyperlink">
    <w:name w:val="Hyperlink"/>
    <w:basedOn w:val="Standaardalinea-lettertype"/>
    <w:uiPriority w:val="99"/>
    <w:unhideWhenUsed/>
    <w:rsid w:val="00755002"/>
    <w:rPr>
      <w:color w:val="0563C1" w:themeColor="hyperlink"/>
      <w:u w:val="single"/>
    </w:rPr>
  </w:style>
  <w:style w:type="character" w:customStyle="1" w:styleId="Onopgelostemelding1">
    <w:name w:val="Onopgeloste melding1"/>
    <w:basedOn w:val="Standaardalinea-lettertype"/>
    <w:uiPriority w:val="99"/>
    <w:semiHidden/>
    <w:unhideWhenUsed/>
    <w:rsid w:val="00755002"/>
    <w:rPr>
      <w:color w:val="605E5C"/>
      <w:shd w:val="clear" w:color="auto" w:fill="E1DFDD"/>
    </w:rPr>
  </w:style>
  <w:style w:type="paragraph" w:styleId="Voetnoottekst">
    <w:name w:val="footnote text"/>
    <w:basedOn w:val="Standaard"/>
    <w:link w:val="VoetnoottekstChar"/>
    <w:uiPriority w:val="99"/>
    <w:semiHidden/>
    <w:unhideWhenUsed/>
    <w:rsid w:val="008F577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F577F"/>
    <w:rPr>
      <w:sz w:val="20"/>
      <w:szCs w:val="20"/>
    </w:rPr>
  </w:style>
  <w:style w:type="character" w:styleId="Voetnootmarkering">
    <w:name w:val="footnote reference"/>
    <w:basedOn w:val="Standaardalinea-lettertype"/>
    <w:uiPriority w:val="99"/>
    <w:semiHidden/>
    <w:unhideWhenUsed/>
    <w:rsid w:val="008F577F"/>
    <w:rPr>
      <w:vertAlign w:val="superscript"/>
    </w:rPr>
  </w:style>
  <w:style w:type="paragraph" w:styleId="Eindnoottekst">
    <w:name w:val="endnote text"/>
    <w:basedOn w:val="Standaard"/>
    <w:link w:val="EindnoottekstChar"/>
    <w:uiPriority w:val="99"/>
    <w:semiHidden/>
    <w:unhideWhenUsed/>
    <w:rsid w:val="006A0E07"/>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6A0E07"/>
    <w:rPr>
      <w:sz w:val="20"/>
      <w:szCs w:val="20"/>
    </w:rPr>
  </w:style>
  <w:style w:type="character" w:styleId="Eindnootmarkering">
    <w:name w:val="endnote reference"/>
    <w:basedOn w:val="Standaardalinea-lettertype"/>
    <w:uiPriority w:val="99"/>
    <w:semiHidden/>
    <w:unhideWhenUsed/>
    <w:rsid w:val="006A0E07"/>
    <w:rPr>
      <w:vertAlign w:val="superscript"/>
    </w:rPr>
  </w:style>
  <w:style w:type="table" w:customStyle="1" w:styleId="Tabelraster1">
    <w:name w:val="Tabelraster1"/>
    <w:basedOn w:val="Standaardtabel"/>
    <w:next w:val="Tabelraster"/>
    <w:uiPriority w:val="59"/>
    <w:rsid w:val="009B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9B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B3464"/>
    <w:pPr>
      <w:spacing w:after="0" w:line="240" w:lineRule="auto"/>
    </w:pPr>
  </w:style>
  <w:style w:type="paragraph" w:styleId="Koptekst">
    <w:name w:val="header"/>
    <w:basedOn w:val="Standaard"/>
    <w:link w:val="KoptekstChar"/>
    <w:uiPriority w:val="99"/>
    <w:unhideWhenUsed/>
    <w:rsid w:val="00EA6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1E0"/>
  </w:style>
  <w:style w:type="paragraph" w:styleId="Voettekst">
    <w:name w:val="footer"/>
    <w:basedOn w:val="Standaard"/>
    <w:link w:val="VoettekstChar"/>
    <w:uiPriority w:val="99"/>
    <w:unhideWhenUsed/>
    <w:rsid w:val="00EA6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1E0"/>
  </w:style>
  <w:style w:type="paragraph" w:styleId="Ballontekst">
    <w:name w:val="Balloon Text"/>
    <w:basedOn w:val="Standaard"/>
    <w:link w:val="BallontekstChar"/>
    <w:uiPriority w:val="99"/>
    <w:semiHidden/>
    <w:unhideWhenUsed/>
    <w:rsid w:val="00D4704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7046"/>
    <w:rPr>
      <w:rFonts w:ascii="Segoe UI" w:hAnsi="Segoe UI" w:cs="Segoe UI"/>
      <w:sz w:val="18"/>
      <w:szCs w:val="18"/>
    </w:rPr>
  </w:style>
  <w:style w:type="character" w:styleId="GevolgdeHyperlink">
    <w:name w:val="FollowedHyperlink"/>
    <w:basedOn w:val="Standaardalinea-lettertype"/>
    <w:uiPriority w:val="99"/>
    <w:semiHidden/>
    <w:unhideWhenUsed/>
    <w:rsid w:val="00D470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ynaecoloog.nl/onderwerpen/baby-laten-draaien-stuitligging-vers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gynaecoloog.nl/onderwerpen/hoe-wil-bevallen-kind-stuitligg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kaart.nl/wp-content/uploads/2017/12/FMS_ck_Stuitbevalling_2017.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gynaecoloog.nl/onderwerpen/hoe-wil-bevallen-kind-stuitligging/" TargetMode="External"/><Relationship Id="rId4" Type="http://schemas.openxmlformats.org/officeDocument/2006/relationships/settings" Target="settings.xml"/><Relationship Id="rId9" Type="http://schemas.openxmlformats.org/officeDocument/2006/relationships/hyperlink" Target="https://consultkaart.nl/wp-content/uploads/2017/12/FMS_ck_Stuitbevalling_2017.01.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B5CD3-8536-409B-B045-C16A9B59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2032</Words>
  <Characters>11180</Characters>
  <Application>Microsoft Office Word</Application>
  <DocSecurity>4</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ruurd Spinder</dc:creator>
  <cp:keywords/>
  <dc:description/>
  <cp:lastModifiedBy>Biesheuvel, A.M. ( Anne Marie )</cp:lastModifiedBy>
  <cp:revision>2</cp:revision>
  <cp:lastPrinted>2021-05-20T09:19:00Z</cp:lastPrinted>
  <dcterms:created xsi:type="dcterms:W3CDTF">2021-06-24T10:16:00Z</dcterms:created>
  <dcterms:modified xsi:type="dcterms:W3CDTF">2021-06-24T10:16:00Z</dcterms:modified>
</cp:coreProperties>
</file>